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Выписка из протокола № 9 от 03.09.2026</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заседания комиссии по установлению необходимости (отсутствия необходимости) проведения капитального ремонта общего имущества в многоквартирных домах, расположенных на территории Ленинградской области</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both"/>
        <w:rPr>
          <w:rFonts w:ascii="Times New Roman" w:hAnsi="Times New Roman" w:eastAsia="Calibri" w:cs="Times New Roman"/>
          <w:b/>
          <w:bCs/>
          <w:sz w:val="28"/>
          <w:szCs w:val="28"/>
          <w:u w:val="single"/>
        </w:rPr>
      </w:pPr>
      <w:r>
        <w:rPr>
          <w:rFonts w:eastAsia="Calibri" w:cs="Times New Roman" w:ascii="Times New Roman" w:hAnsi="Times New Roman"/>
          <w:b/>
          <w:sz w:val="28"/>
          <w:szCs w:val="28"/>
          <w:u w:val="single"/>
        </w:rPr>
        <w:t xml:space="preserve">1) Рассмотрение заявлений, представленных </w:t>
      </w:r>
      <w:r>
        <w:rPr>
          <w:rFonts w:eastAsia="Calibri" w:cs="Times New Roman" w:ascii="Times New Roman" w:hAnsi="Times New Roman"/>
          <w:b/>
          <w:bCs/>
          <w:sz w:val="28"/>
          <w:szCs w:val="28"/>
          <w:u w:val="single"/>
        </w:rPr>
        <w:t>НО «Фонд капитального ремонта многоквартирных домов Ленинградской области»: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 xml:space="preserve">1.1) об отсутствии технической возможности выполнения работ по капитальному ремонту общего имущества в многоквартирном доме в случае, если в ходе обследования многоквартирного дома региональным оператором будет выявлено наличие невозможности выполнения работ по капитальному ремонту конструктивного элемента/внутридомовой инженерной системы в многоквартирном доме в связи с необходимостью выполнения реконструкции и(или) капитального ремонта данного или иного конструктивного элемента/внутридомовой инженерной системы </w:t>
      </w:r>
      <w:r>
        <w:rPr>
          <w:rFonts w:eastAsia="Calibri" w:cs="Times New Roman" w:ascii="Times New Roman" w:hAnsi="Times New Roman"/>
          <w:sz w:val="28"/>
          <w:szCs w:val="28"/>
        </w:rPr>
        <w:t xml:space="preserve">(подпункт 1 пункта 1.3.8. Порядка </w:t>
      </w:r>
      <w:r>
        <w:rPr>
          <w:rFonts w:cs="Times New Roman" w:ascii="Times New Roman" w:hAnsi="Times New Roman"/>
          <w:sz w:val="28"/>
          <w:szCs w:val="28"/>
        </w:rPr>
        <w:t xml:space="preserve">установления необходимости проведения капитального ремонта общего имущества в многоквартирных домах, расположенных на территории Ленинградской области, утвержденным постановлением Правительства Ленинградской области от 27 декабря 2017 года № 625 </w:t>
        <w:br/>
        <w:t>(далее – Порядок)</w:t>
      </w:r>
      <w:r>
        <w:rPr>
          <w:rFonts w:eastAsia="Calibri" w:cs="Times New Roman" w:ascii="Times New Roman" w:hAnsi="Times New Roman"/>
          <w:sz w:val="28"/>
          <w:szCs w:val="28"/>
        </w:rPr>
        <w:t>)</w:t>
      </w:r>
      <w:r>
        <w:rPr>
          <w:rFonts w:eastAsia="Times New Roman" w:cs="Times New Roman" w:ascii="Times New Roman" w:hAnsi="Times New Roman"/>
          <w:sz w:val="28"/>
          <w:szCs w:val="28"/>
        </w:rPr>
        <w:t>:</w:t>
      </w:r>
    </w:p>
    <w:p>
      <w:pPr>
        <w:pStyle w:val="Normal"/>
        <w:spacing w:lineRule="auto" w:line="240" w:before="0" w:after="0"/>
        <w:jc w:val="both"/>
        <w:rPr>
          <w:rFonts w:ascii="Times New Roman" w:hAnsi="Times New Roman" w:cs="Times New Roman"/>
          <w:b/>
          <w:sz w:val="28"/>
          <w:szCs w:val="28"/>
        </w:rPr>
      </w:pPr>
      <w:r>
        <w:rPr>
          <w:rFonts w:cs="Times New Roman" w:ascii="Times New Roman" w:hAnsi="Times New Roman"/>
          <w:b/>
          <w:sz w:val="28"/>
          <w:szCs w:val="28"/>
        </w:rPr>
        <w:t>Всеволожский муниципальный район, с. Павлово, ул. Быкова, д. 48 (ОКН(Фед.Значения))</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Cs/>
          <w:sz w:val="28"/>
          <w:szCs w:val="28"/>
        </w:rPr>
        <w:t>(</w:t>
      </w:r>
      <w:r>
        <w:rPr>
          <w:rFonts w:cs="Times New Roman" w:ascii="Times New Roman" w:hAnsi="Times New Roman"/>
          <w:sz w:val="28"/>
          <w:szCs w:val="28"/>
        </w:rPr>
        <w:t>ПРИ крыша, СМР Крыша, ПИР фасад, СМР фасад, ПИР ЭС, ЭС, ПИР фундамент, СМР фундамент, ПИР ТС, ТС, ПИР ХВС, ХВС, ПИР ВО, ВО</w:t>
      </w:r>
      <w:r>
        <w:rPr>
          <w:rFonts w:cs="Times New Roman" w:ascii="Times New Roman" w:hAnsi="Times New Roman"/>
          <w:bCs/>
          <w:sz w:val="28"/>
          <w:szCs w:val="28"/>
        </w:rPr>
        <w:t xml:space="preserve"> с 2026 года на более поздний период);</w:t>
      </w:r>
    </w:p>
    <w:p>
      <w:pPr>
        <w:pStyle w:val="Normal"/>
        <w:spacing w:lineRule="auto" w:line="240" w:before="0" w:after="0"/>
        <w:jc w:val="both"/>
        <w:rPr>
          <w:rFonts w:ascii="Times New Roman" w:hAnsi="Times New Roman" w:cs="Times New Roman"/>
          <w:b/>
          <w:sz w:val="28"/>
          <w:szCs w:val="28"/>
        </w:rPr>
      </w:pPr>
      <w:r>
        <w:rPr>
          <w:rFonts w:cs="Times New Roman" w:ascii="Times New Roman" w:hAnsi="Times New Roman"/>
          <w:b/>
          <w:sz w:val="28"/>
          <w:szCs w:val="28"/>
        </w:rPr>
        <w:t>Выборгский муниципальный район, г. Выборг, ул. Сторожевой Башни, д. 12 (ОКН(Рег.Значения))</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Cs/>
          <w:sz w:val="28"/>
          <w:szCs w:val="28"/>
        </w:rPr>
        <w:t>(ПУ и УУ ТС с 2026 года на более поздний);</w:t>
      </w:r>
    </w:p>
    <w:p>
      <w:pPr>
        <w:pStyle w:val="Normal"/>
        <w:spacing w:lineRule="auto" w:line="240" w:before="0" w:after="0"/>
        <w:jc w:val="both"/>
        <w:rPr>
          <w:rFonts w:ascii="Times New Roman" w:hAnsi="Times New Roman" w:cs="Times New Roman"/>
          <w:b/>
          <w:sz w:val="28"/>
          <w:szCs w:val="28"/>
        </w:rPr>
      </w:pPr>
      <w:r>
        <w:rPr>
          <w:rFonts w:cs="Times New Roman" w:ascii="Times New Roman" w:hAnsi="Times New Roman"/>
          <w:b/>
          <w:sz w:val="28"/>
          <w:szCs w:val="28"/>
        </w:rPr>
        <w:t>Лужский муниципальный район, дер. Турово, д. 1</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Cs/>
          <w:sz w:val="28"/>
          <w:szCs w:val="28"/>
        </w:rPr>
        <w:t>(ПИР ВО с 2026 года на более поздний).</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w:t>
      </w:r>
      <w:r>
        <w:rPr>
          <w:rFonts w:eastAsia="Calibri" w:cs="Times New Roman" w:ascii="Times New Roman" w:hAnsi="Times New Roman"/>
          <w:sz w:val="28"/>
          <w:szCs w:val="28"/>
        </w:rPr>
        <w:t xml:space="preserve">Установили необходимость переноса сроков проведения капитального ремонта в многоквартирных домах, расположенных по адресам: </w:t>
      </w:r>
    </w:p>
    <w:p>
      <w:pPr>
        <w:pStyle w:val="Normal"/>
        <w:spacing w:lineRule="auto" w:line="240" w:before="0" w:after="0"/>
        <w:jc w:val="both"/>
        <w:rPr>
          <w:rFonts w:ascii="Times New Roman" w:hAnsi="Times New Roman" w:eastAsia="Calibri" w:cs="Times New Roman"/>
          <w:sz w:val="28"/>
          <w:szCs w:val="28"/>
        </w:rPr>
      </w:pPr>
      <w:r>
        <w:rPr>
          <w:rFonts w:cs="Times New Roman" w:ascii="Times New Roman" w:hAnsi="Times New Roman"/>
          <w:bCs/>
          <w:sz w:val="28"/>
          <w:szCs w:val="28"/>
          <w:u w:val="single"/>
        </w:rPr>
        <w:t>Всеволожский муниципальный район, с. Павлово, ул. Быкова, д. 48 (ОКН(Фед.Значения))</w:t>
      </w:r>
      <w:r>
        <w:rPr>
          <w:rFonts w:cs="Times New Roman" w:ascii="Times New Roman" w:hAnsi="Times New Roman"/>
          <w:bCs/>
          <w:sz w:val="28"/>
          <w:szCs w:val="28"/>
        </w:rPr>
        <w:t xml:space="preserve"> </w:t>
      </w:r>
      <w:r>
        <w:rPr>
          <w:rFonts w:eastAsia="Calibri" w:cs="Times New Roman" w:ascii="Times New Roman" w:hAnsi="Times New Roman"/>
          <w:sz w:val="28"/>
          <w:szCs w:val="28"/>
        </w:rPr>
        <w:t>с 2026 года на более поздний период 2041-2043 годов;</w:t>
      </w:r>
    </w:p>
    <w:p>
      <w:pPr>
        <w:pStyle w:val="Normal"/>
        <w:spacing w:lineRule="auto" w:line="240" w:before="0" w:after="0"/>
        <w:jc w:val="both"/>
        <w:rPr>
          <w:rFonts w:ascii="Times New Roman" w:hAnsi="Times New Roman" w:eastAsia="Calibri" w:cs="Times New Roman"/>
          <w:sz w:val="28"/>
          <w:szCs w:val="28"/>
        </w:rPr>
      </w:pPr>
      <w:r>
        <w:rPr>
          <w:rFonts w:cs="Times New Roman" w:ascii="Times New Roman" w:hAnsi="Times New Roman"/>
          <w:bCs/>
          <w:sz w:val="28"/>
          <w:szCs w:val="28"/>
          <w:u w:val="single"/>
        </w:rPr>
        <w:t>Выборгский муниципальный район, г. Выборг, ул. Сторожевой Башни, д. 12 (ОКН(Рег.Значения))</w:t>
      </w:r>
      <w:r>
        <w:rPr>
          <w:rFonts w:eastAsia="Calibri" w:cs="Times New Roman" w:ascii="Times New Roman" w:hAnsi="Times New Roman"/>
          <w:sz w:val="28"/>
          <w:szCs w:val="28"/>
        </w:rPr>
        <w:t xml:space="preserve"> с 2026 года на более поздний период 2029-2031 годов.</w:t>
      </w:r>
    </w:p>
    <w:p>
      <w:pPr>
        <w:pStyle w:val="Normal"/>
        <w:spacing w:lineRule="auto" w:line="240" w:before="0" w:after="0"/>
        <w:jc w:val="both"/>
        <w:rPr>
          <w:rFonts w:ascii="Times New Roman" w:hAnsi="Times New Roman" w:cs="Times New Roman"/>
          <w:bCs/>
          <w:sz w:val="28"/>
          <w:szCs w:val="28"/>
          <w:u w:val="single"/>
        </w:rPr>
      </w:pPr>
      <w:r>
        <w:rPr>
          <w:rFonts w:cs="Times New Roman" w:ascii="Times New Roman" w:hAnsi="Times New Roman"/>
          <w:bCs/>
          <w:sz w:val="28"/>
          <w:szCs w:val="28"/>
          <w:u w:val="single"/>
        </w:rPr>
        <w:t xml:space="preserve">По многоквартирному дому, расположенному по адресу: Лужский муниципальный район, дер. Турово, д. 1, </w:t>
      </w:r>
      <w:r>
        <w:rPr>
          <w:rFonts w:cs="Times New Roman" w:ascii="Times New Roman" w:hAnsi="Times New Roman"/>
          <w:bCs/>
          <w:sz w:val="28"/>
          <w:szCs w:val="28"/>
        </w:rPr>
        <w:t>приняли решение о приостановлении рассмотрения заявления, но не более чем на 30 дней, в связи с необходимостью запроса информации некоммерческой организацией «Фонд капитального ремонта многоквартирных домов Ленинградской области», необходимой для принятия комиссией решения об установлении необходимости ( отсутствия необходимости) проведения капитального ремонта.</w:t>
      </w:r>
    </w:p>
    <w:p>
      <w:pPr>
        <w:pStyle w:val="Normal"/>
        <w:spacing w:lineRule="auto" w:line="240" w:before="0" w:after="0"/>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1</w:t>
      </w:r>
    </w:p>
    <w:p>
      <w:pPr>
        <w:pStyle w:val="Normal"/>
        <w:spacing w:lineRule="auto" w:line="240" w:before="0" w:after="0"/>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ind w:right="142"/>
        <w:jc w:val="both"/>
        <w:rPr>
          <w:rFonts w:ascii="Times New Roman" w:hAnsi="Times New Roman" w:eastAsia="Times New Roman" w:cs="Times New Roman"/>
          <w:sz w:val="28"/>
          <w:szCs w:val="28"/>
        </w:rPr>
      </w:pPr>
      <w:r>
        <w:rPr>
          <w:rFonts w:eastAsia="Calibri" w:cs="Times New Roman" w:ascii="Times New Roman" w:hAnsi="Times New Roman"/>
          <w:sz w:val="28"/>
          <w:szCs w:val="28"/>
        </w:rPr>
        <w:t>1.2)</w:t>
      </w:r>
      <w:r>
        <w:rPr>
          <w:rFonts w:eastAsia="Calibri" w:cs="Times New Roman" w:ascii="Times New Roman" w:hAnsi="Times New Roman"/>
          <w:bCs/>
          <w:sz w:val="28"/>
          <w:szCs w:val="28"/>
        </w:rPr>
        <w:t xml:space="preserve"> </w:t>
      </w:r>
      <w:r>
        <w:rPr>
          <w:rFonts w:eastAsia="Times New Roman" w:cs="Times New Roman" w:ascii="Times New Roman" w:hAnsi="Times New Roman"/>
          <w:sz w:val="28"/>
          <w:szCs w:val="28"/>
        </w:rPr>
        <w:t xml:space="preserve">о переносе установленного срока капитального ремонта (срока оказания отдельных услуг и(или) выполнения работ по капитальному ремонту) на более поздний период (срок) </w:t>
      </w:r>
      <w:r>
        <w:rPr>
          <w:rFonts w:cs="Times New Roman" w:ascii="Times New Roman" w:hAnsi="Times New Roman"/>
          <w:sz w:val="28"/>
          <w:szCs w:val="28"/>
        </w:rPr>
        <w:t xml:space="preserve">в соответствии с пунктом 4 части 4 статьи 168 статьи 181 Жилищного кодекса Российской Федерации (невозможность выполнения/воспрепятствие) </w:t>
      </w:r>
      <w:r>
        <w:rPr>
          <w:rFonts w:eastAsia="Calibri" w:cs="Times New Roman" w:ascii="Times New Roman" w:hAnsi="Times New Roman"/>
          <w:sz w:val="28"/>
          <w:szCs w:val="28"/>
        </w:rPr>
        <w:t>(подпункт 4 пункта 1.3.3. Порядка)</w:t>
      </w:r>
      <w:r>
        <w:rPr>
          <w:rFonts w:eastAsia="Times New Roman" w:cs="Times New Roman" w:ascii="Times New Roman" w:hAnsi="Times New Roman"/>
          <w:sz w:val="28"/>
          <w:szCs w:val="28"/>
        </w:rPr>
        <w:t>:</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Гатчинский муниципальный округ, г. Гатчина, ул. Чкалова, д. 61А </w:t>
      </w:r>
      <w:r>
        <w:rPr>
          <w:rFonts w:eastAsia="Times New Roman" w:cs="Times New Roman" w:ascii="Times New Roman" w:hAnsi="Times New Roman"/>
          <w:sz w:val="28"/>
          <w:szCs w:val="28"/>
        </w:rPr>
        <w:t>– перенос срока ВДИС ЭС, ВДИС ТС, ВДИС ХВС, ВДИС ВО, СМР подвал, СМР Фундамент, ПИР ЭС, ПИР ТС, ПИР ХВС, ПИР ВО, ПИР фундамент, ПИР подвал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Приозерский муниципальный район, пос. Сосново, ул. Железнодорожная, д. 55 </w:t>
      </w:r>
      <w:r>
        <w:rPr>
          <w:rFonts w:eastAsia="Times New Roman" w:cs="Times New Roman" w:ascii="Times New Roman" w:hAnsi="Times New Roman"/>
          <w:sz w:val="28"/>
          <w:szCs w:val="28"/>
        </w:rPr>
        <w:t>– перенос срока ВДИС ХВС, ВДИС ВО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Лодейнопольский муниципальный район, г. Лодейное Поле, ул. Гагарина, д. 18 </w:t>
      </w:r>
      <w:r>
        <w:rPr>
          <w:rFonts w:eastAsia="Times New Roman" w:cs="Times New Roman" w:ascii="Times New Roman" w:hAnsi="Times New Roman"/>
          <w:sz w:val="28"/>
          <w:szCs w:val="28"/>
        </w:rPr>
        <w:t>– перенос срока ВДИС ТС, ВДИС ХВС, ВДИС ВО. ПУ и УУ ТС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Волховский муниципальный район, г. Новая Ладога, просп. К. Маркса, д. 56/2 </w:t>
      </w:r>
      <w:r>
        <w:rPr>
          <w:rFonts w:eastAsia="Times New Roman" w:cs="Times New Roman" w:ascii="Times New Roman" w:hAnsi="Times New Roman"/>
          <w:sz w:val="28"/>
          <w:szCs w:val="28"/>
        </w:rPr>
        <w:t>– перенос срока ВДИС ТС и ВДИС ХВС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Волосовский муниципальный район, пос. Кикерино, ул. Театральная, д. 4а </w:t>
      </w:r>
      <w:r>
        <w:rPr>
          <w:rFonts w:eastAsia="Times New Roman" w:cs="Times New Roman" w:ascii="Times New Roman" w:hAnsi="Times New Roman"/>
          <w:sz w:val="28"/>
          <w:szCs w:val="28"/>
        </w:rPr>
        <w:t>– перенос срока ВДИС ВО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Волховский муниципальный район, г. Новая Ладога, просп. К. Маркса, д. 58/1 </w:t>
      </w:r>
      <w:r>
        <w:rPr>
          <w:rFonts w:eastAsia="Times New Roman" w:cs="Times New Roman" w:ascii="Times New Roman" w:hAnsi="Times New Roman"/>
          <w:sz w:val="28"/>
          <w:szCs w:val="28"/>
        </w:rPr>
        <w:t>– перенос срока ВДИС ТС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Гатчинский муниципальный округ, г. Гатчина, ул. Академика Константинова, д. 1Б </w:t>
      </w:r>
      <w:r>
        <w:rPr>
          <w:rFonts w:eastAsia="Times New Roman" w:cs="Times New Roman" w:ascii="Times New Roman" w:hAnsi="Times New Roman"/>
          <w:sz w:val="28"/>
          <w:szCs w:val="28"/>
        </w:rPr>
        <w:t>– перенос срока СМР Крыши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Выборгский муниципальный район, г. Каменногорск, ш. Ленинградское, д. 65а </w:t>
      </w:r>
      <w:r>
        <w:rPr>
          <w:rFonts w:eastAsia="Times New Roman" w:cs="Times New Roman" w:ascii="Times New Roman" w:hAnsi="Times New Roman"/>
          <w:sz w:val="28"/>
          <w:szCs w:val="28"/>
        </w:rPr>
        <w:t>– перенос срока ВДИС ХВС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Тихвинский муниципальный район, пос. Шугозеро, ул. Капшинская, д. 3 </w:t>
      </w:r>
      <w:r>
        <w:rPr>
          <w:rFonts w:eastAsia="Times New Roman" w:cs="Times New Roman" w:ascii="Times New Roman" w:hAnsi="Times New Roman"/>
          <w:sz w:val="28"/>
          <w:szCs w:val="28"/>
        </w:rPr>
        <w:t>– перенос срока ВДИС ХВС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г.п. им. Морозова, ул. Мира, д. 9 </w:t>
      </w:r>
      <w:r>
        <w:rPr>
          <w:rFonts w:eastAsia="Times New Roman" w:cs="Times New Roman" w:ascii="Times New Roman" w:hAnsi="Times New Roman"/>
          <w:sz w:val="28"/>
          <w:szCs w:val="28"/>
        </w:rPr>
        <w:t>– перенос срока ВДИС ВО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Выборгский муниципальный район, г. Выборг, ул. Димитрова, д. 9 </w:t>
      </w:r>
      <w:r>
        <w:rPr>
          <w:rFonts w:eastAsia="Times New Roman" w:cs="Times New Roman" w:ascii="Times New Roman" w:hAnsi="Times New Roman"/>
          <w:sz w:val="28"/>
          <w:szCs w:val="28"/>
        </w:rPr>
        <w:t>– перенос срока ВДИС ХВС, ВДИС ВО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г.п. им. Морозова, ул. Новая, д. 1 </w:t>
      </w:r>
      <w:r>
        <w:rPr>
          <w:rFonts w:eastAsia="Times New Roman" w:cs="Times New Roman" w:ascii="Times New Roman" w:hAnsi="Times New Roman"/>
          <w:sz w:val="28"/>
          <w:szCs w:val="28"/>
        </w:rPr>
        <w:t>– перенос срока ВДИС ХВС, ВДИС ВО с 2026 года на более поздний период;</w:t>
      </w:r>
    </w:p>
    <w:p>
      <w:pPr>
        <w:pStyle w:val="Normal"/>
        <w:spacing w:before="0" w:after="200"/>
        <w:contextualSpacing/>
        <w:jc w:val="both"/>
        <w:rPr>
          <w:rFonts w:ascii="Times New Roman" w:hAnsi="Times New Roman" w:eastAsia="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г.п. им. Морозова, ул. Спорта, д. 4 </w:t>
      </w:r>
      <w:r>
        <w:rPr>
          <w:rFonts w:eastAsia="Times New Roman" w:cs="Times New Roman" w:ascii="Times New Roman" w:hAnsi="Times New Roman"/>
          <w:sz w:val="28"/>
          <w:szCs w:val="28"/>
        </w:rPr>
        <w:t>– перенос срока ВДИС ХВС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Кировский муниципальный район, г. Кировск, ул. Горького, д. 17 </w:t>
      </w:r>
      <w:r>
        <w:rPr>
          <w:rFonts w:eastAsia="Times New Roman" w:cs="Times New Roman" w:ascii="Times New Roman" w:hAnsi="Times New Roman"/>
          <w:sz w:val="28"/>
          <w:szCs w:val="28"/>
        </w:rPr>
        <w:t>– перенос срока ВДИС ГВС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Кировский муниципальный район, г. Кировск, ул. Краснофлотская, д. 11 </w:t>
      </w:r>
      <w:r>
        <w:rPr>
          <w:rFonts w:eastAsia="Times New Roman" w:cs="Times New Roman" w:ascii="Times New Roman" w:hAnsi="Times New Roman"/>
          <w:sz w:val="28"/>
          <w:szCs w:val="28"/>
        </w:rPr>
        <w:t>– перенос срока ВДИС ГВС, ВДИС ВО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Кировский муниципальный район, г. Кировск, ул. Горького, д. 15 </w:t>
      </w:r>
      <w:r>
        <w:rPr>
          <w:rFonts w:eastAsia="Times New Roman" w:cs="Times New Roman" w:ascii="Times New Roman" w:hAnsi="Times New Roman"/>
          <w:sz w:val="28"/>
          <w:szCs w:val="28"/>
        </w:rPr>
        <w:t>– перенос срока ВДИС ГВС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г. Сертолово, микрорайон Сертолово-1, ул. Ларина, д. 1 </w:t>
      </w:r>
      <w:r>
        <w:rPr>
          <w:rFonts w:eastAsia="Times New Roman" w:cs="Times New Roman" w:ascii="Times New Roman" w:hAnsi="Times New Roman"/>
          <w:sz w:val="28"/>
          <w:szCs w:val="28"/>
        </w:rPr>
        <w:t>– перенос срока ВДИС ХВС, ВДИС ГВС с 2026 года на более поздний период;</w:t>
      </w:r>
    </w:p>
    <w:p>
      <w:pPr>
        <w:pStyle w:val="Normal"/>
        <w:spacing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 xml:space="preserve">Кировский муниципальный район, г. Кировск, ул. Комсомольская, д. 5 </w:t>
      </w:r>
      <w:r>
        <w:rPr>
          <w:rFonts w:eastAsia="Times New Roman" w:cs="Times New Roman" w:ascii="Times New Roman" w:hAnsi="Times New Roman"/>
          <w:sz w:val="28"/>
          <w:szCs w:val="28"/>
        </w:rPr>
        <w:t>– перенос срока ВДИС ГВС с 2026 года на более поздний период.</w:t>
      </w:r>
    </w:p>
    <w:p>
      <w:pPr>
        <w:pStyle w:val="Normal"/>
        <w:spacing w:lineRule="auto" w:line="240" w:before="0" w:after="0"/>
        <w:jc w:val="both"/>
        <w:rPr>
          <w:rFonts w:ascii="Times New Roman" w:hAnsi="Times New Roman" w:eastAsia="Calibri" w:cs="Times New Roman"/>
          <w:bCs/>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Установили необходимость переноса сроков работ по капитальному ремонту общего имущества многоквартирных домов на более поздний период по сравнению со сроками, указанными в региональной программе:</w:t>
      </w:r>
    </w:p>
    <w:p>
      <w:pPr>
        <w:pStyle w:val="Normal"/>
        <w:spacing w:before="0" w:after="200"/>
        <w:contextualSpacing/>
        <w:jc w:val="both"/>
        <w:rPr>
          <w:rFonts w:ascii="Times New Roman" w:hAnsi="Times New Roman" w:eastAsia="Times New Roman" w:cs="Times New Roman"/>
          <w:bCs/>
          <w:sz w:val="28"/>
          <w:szCs w:val="28"/>
          <w:u w:val="single"/>
        </w:rPr>
      </w:pPr>
      <w:r>
        <w:rPr>
          <w:rFonts w:eastAsia="Times New Roman" w:cs="Times New Roman" w:ascii="Times New Roman" w:hAnsi="Times New Roman"/>
          <w:bCs/>
          <w:sz w:val="28"/>
          <w:szCs w:val="28"/>
          <w:u w:val="single"/>
        </w:rPr>
        <w:t>на период 2029-2031:</w:t>
      </w:r>
    </w:p>
    <w:p>
      <w:pPr>
        <w:pStyle w:val="Normal"/>
        <w:spacing w:before="0" w:after="200"/>
        <w:contextualSpacing/>
        <w:jc w:val="both"/>
        <w:rPr>
          <w:rFonts w:ascii="Times New Roman" w:hAnsi="Times New Roman" w:cs="Times New Roman"/>
          <w:bCs/>
          <w:sz w:val="28"/>
          <w:szCs w:val="28"/>
        </w:rPr>
      </w:pPr>
      <w:r>
        <w:rPr>
          <w:rFonts w:eastAsia="Times New Roman" w:cs="Times New Roman" w:ascii="Times New Roman" w:hAnsi="Times New Roman"/>
          <w:bCs/>
          <w:sz w:val="28"/>
          <w:szCs w:val="28"/>
        </w:rPr>
        <w:t>Волосовский муниципальный район, пос. Кикерино, ул. Театральная, д. 4а;</w:t>
      </w:r>
    </w:p>
    <w:p>
      <w:pPr>
        <w:pStyle w:val="Normal"/>
        <w:spacing w:before="0" w:after="200"/>
        <w:contextualSpacing/>
        <w:jc w:val="both"/>
        <w:rPr>
          <w:rFonts w:ascii="Times New Roman" w:hAnsi="Times New Roman" w:cs="Times New Roman"/>
          <w:bCs/>
          <w:sz w:val="28"/>
          <w:szCs w:val="28"/>
        </w:rPr>
      </w:pPr>
      <w:r>
        <w:rPr>
          <w:rFonts w:eastAsia="Times New Roman" w:cs="Times New Roman" w:ascii="Times New Roman" w:hAnsi="Times New Roman"/>
          <w:bCs/>
          <w:sz w:val="28"/>
          <w:szCs w:val="28"/>
        </w:rPr>
        <w:t xml:space="preserve">Гатчинский муниципальный округ, г. Гатчина, ул. Академика Константинова, д. 1Б; </w:t>
      </w:r>
    </w:p>
    <w:p>
      <w:pPr>
        <w:pStyle w:val="Normal"/>
        <w:spacing w:before="0" w:after="200"/>
        <w:contextualSpacing/>
        <w:jc w:val="both"/>
        <w:rPr>
          <w:rFonts w:ascii="Times New Roman" w:hAnsi="Times New Roman" w:cs="Times New Roman"/>
          <w:bCs/>
          <w:sz w:val="28"/>
          <w:szCs w:val="28"/>
        </w:rPr>
      </w:pPr>
      <w:r>
        <w:rPr>
          <w:rFonts w:eastAsia="Times New Roman" w:cs="Times New Roman" w:ascii="Times New Roman" w:hAnsi="Times New Roman"/>
          <w:bCs/>
          <w:sz w:val="28"/>
          <w:szCs w:val="28"/>
        </w:rPr>
        <w:t xml:space="preserve">Тихвинский муниципальный район, пос. Шугозеро, ул. Капшинская, д. 3; </w:t>
      </w:r>
    </w:p>
    <w:p>
      <w:pPr>
        <w:pStyle w:val="Normal"/>
        <w:spacing w:before="0" w:after="200"/>
        <w:contextualSpacing/>
        <w:jc w:val="both"/>
        <w:rPr>
          <w:rFonts w:ascii="Times New Roman" w:hAnsi="Times New Roman" w:cs="Times New Roman"/>
          <w:bCs/>
          <w:sz w:val="28"/>
          <w:szCs w:val="28"/>
        </w:rPr>
      </w:pPr>
      <w:r>
        <w:rPr>
          <w:rFonts w:eastAsia="Times New Roman" w:cs="Times New Roman" w:ascii="Times New Roman" w:hAnsi="Times New Roman"/>
          <w:bCs/>
          <w:sz w:val="28"/>
          <w:szCs w:val="28"/>
        </w:rPr>
        <w:t xml:space="preserve">Выборгский муниципальный район, г. Выборг, ул. Димитрова, д. 9; </w:t>
      </w:r>
    </w:p>
    <w:p>
      <w:pPr>
        <w:pStyle w:val="Normal"/>
        <w:spacing w:before="0" w:after="200"/>
        <w:contextualSpacing/>
        <w:jc w:val="both"/>
        <w:rPr>
          <w:rFonts w:ascii="Times New Roman" w:hAnsi="Times New Roman" w:eastAsia="Times New Roman" w:cs="Times New Roman"/>
          <w:bCs/>
          <w:sz w:val="28"/>
          <w:szCs w:val="28"/>
          <w:u w:val="single"/>
        </w:rPr>
      </w:pPr>
      <w:r>
        <w:rPr>
          <w:rFonts w:eastAsia="Times New Roman" w:cs="Times New Roman" w:ascii="Times New Roman" w:hAnsi="Times New Roman"/>
          <w:bCs/>
          <w:sz w:val="28"/>
          <w:szCs w:val="28"/>
          <w:u w:val="single"/>
        </w:rPr>
        <w:t>на период 2032-2034:</w:t>
      </w:r>
    </w:p>
    <w:p>
      <w:pPr>
        <w:pStyle w:val="Normal"/>
        <w:spacing w:before="0" w:after="200"/>
        <w:contextualSpacing/>
        <w:jc w:val="both"/>
        <w:rPr>
          <w:rFonts w:ascii="Times New Roman" w:hAnsi="Times New Roman" w:cs="Times New Roman"/>
          <w:bCs/>
          <w:sz w:val="28"/>
          <w:szCs w:val="28"/>
        </w:rPr>
      </w:pPr>
      <w:r>
        <w:rPr>
          <w:rFonts w:eastAsia="Times New Roman" w:cs="Times New Roman" w:ascii="Times New Roman" w:hAnsi="Times New Roman"/>
          <w:bCs/>
          <w:sz w:val="28"/>
          <w:szCs w:val="28"/>
        </w:rPr>
        <w:t xml:space="preserve">Приозерский муниципальный район, пос. Сосново, ул. Железнодорожная, д. 55; </w:t>
      </w:r>
    </w:p>
    <w:p>
      <w:pPr>
        <w:pStyle w:val="Normal"/>
        <w:spacing w:before="0" w:after="200"/>
        <w:contextualSpacing/>
        <w:jc w:val="both"/>
        <w:rPr>
          <w:rFonts w:ascii="Times New Roman" w:hAnsi="Times New Roman" w:eastAsia="Times New Roman" w:cs="Times New Roman"/>
          <w:bCs/>
          <w:sz w:val="28"/>
          <w:szCs w:val="28"/>
          <w:u w:val="single"/>
        </w:rPr>
      </w:pPr>
      <w:r>
        <w:rPr>
          <w:rFonts w:eastAsia="Times New Roman" w:cs="Times New Roman" w:ascii="Times New Roman" w:hAnsi="Times New Roman"/>
          <w:bCs/>
          <w:sz w:val="28"/>
          <w:szCs w:val="28"/>
          <w:u w:val="single"/>
        </w:rPr>
        <w:t>на период 2035-2037:</w:t>
      </w:r>
    </w:p>
    <w:p>
      <w:pPr>
        <w:pStyle w:val="Normal"/>
        <w:spacing w:lineRule="auto" w:line="240" w:before="0" w:after="0"/>
        <w:jc w:val="both"/>
        <w:rPr>
          <w:rFonts w:ascii="Times New Roman" w:hAnsi="Times New Roman" w:eastAsia="Calibri" w:cs="Times New Roman"/>
          <w:bCs/>
          <w:sz w:val="28"/>
          <w:szCs w:val="28"/>
        </w:rPr>
      </w:pPr>
      <w:r>
        <w:rPr>
          <w:rFonts w:eastAsia="Times New Roman" w:cs="Times New Roman" w:ascii="Times New Roman" w:hAnsi="Times New Roman"/>
          <w:bCs/>
          <w:sz w:val="28"/>
          <w:szCs w:val="28"/>
        </w:rPr>
        <w:t>Гатчинский муниципальный округ, г. Гатчина, ул. Чкалова, д. 61А;</w:t>
      </w:r>
    </w:p>
    <w:p>
      <w:pPr>
        <w:pStyle w:val="Normal"/>
        <w:spacing w:before="0" w:after="200"/>
        <w:contextualSpacing/>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Лодейнопольский муниципальный район, г. Лодейное Поле, ул. Гагарина, д. 18;</w:t>
      </w:r>
    </w:p>
    <w:p>
      <w:pPr>
        <w:pStyle w:val="Normal"/>
        <w:spacing w:before="0" w:after="200"/>
        <w:contextualSpacing/>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Всеволожский муниципальный район, г.п. им. Морозова, ул. Мира, д. 9;</w:t>
      </w:r>
    </w:p>
    <w:p>
      <w:pPr>
        <w:pStyle w:val="Normal"/>
        <w:spacing w:before="0" w:after="200"/>
        <w:contextualSpacing/>
        <w:jc w:val="both"/>
        <w:rPr>
          <w:rFonts w:ascii="Times New Roman" w:hAnsi="Times New Roman" w:cs="Times New Roman"/>
          <w:bCs/>
          <w:sz w:val="28"/>
          <w:szCs w:val="28"/>
        </w:rPr>
      </w:pPr>
      <w:r>
        <w:rPr>
          <w:rFonts w:eastAsia="Times New Roman" w:cs="Times New Roman" w:ascii="Times New Roman" w:hAnsi="Times New Roman"/>
          <w:bCs/>
          <w:sz w:val="28"/>
          <w:szCs w:val="28"/>
        </w:rPr>
        <w:t xml:space="preserve">Всеволожский муниципальный район, г.п. им. Морозова, ул. Новая, д. 1; </w:t>
      </w:r>
    </w:p>
    <w:p>
      <w:pPr>
        <w:pStyle w:val="Normal"/>
        <w:spacing w:before="0" w:after="200"/>
        <w:contextualSpacing/>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 xml:space="preserve">Всеволожский муниципальный район, г.п. им. Морозова, ул. Спорта, д. 4; </w:t>
      </w:r>
    </w:p>
    <w:p>
      <w:pPr>
        <w:pStyle w:val="Normal"/>
        <w:spacing w:before="0" w:after="200"/>
        <w:contextualSpacing/>
        <w:jc w:val="both"/>
        <w:rPr>
          <w:rFonts w:ascii="Times New Roman" w:hAnsi="Times New Roman" w:cs="Times New Roman"/>
          <w:bCs/>
          <w:sz w:val="28"/>
          <w:szCs w:val="28"/>
        </w:rPr>
      </w:pPr>
      <w:r>
        <w:rPr>
          <w:rFonts w:eastAsia="Times New Roman" w:cs="Times New Roman" w:ascii="Times New Roman" w:hAnsi="Times New Roman"/>
          <w:bCs/>
          <w:sz w:val="28"/>
          <w:szCs w:val="28"/>
        </w:rPr>
        <w:t xml:space="preserve">Кировский муниципальный район, г. Кировск, ул. Горького, д. 17; </w:t>
      </w:r>
    </w:p>
    <w:p>
      <w:pPr>
        <w:pStyle w:val="Normal"/>
        <w:spacing w:before="0" w:after="200"/>
        <w:contextualSpacing/>
        <w:jc w:val="both"/>
        <w:rPr>
          <w:rFonts w:ascii="Times New Roman" w:hAnsi="Times New Roman" w:cs="Times New Roman"/>
          <w:bCs/>
          <w:sz w:val="28"/>
          <w:szCs w:val="28"/>
        </w:rPr>
      </w:pPr>
      <w:r>
        <w:rPr>
          <w:rFonts w:eastAsia="Times New Roman" w:cs="Times New Roman" w:ascii="Times New Roman" w:hAnsi="Times New Roman"/>
          <w:bCs/>
          <w:sz w:val="28"/>
          <w:szCs w:val="28"/>
        </w:rPr>
        <w:t xml:space="preserve">Кировский муниципальный район, г. Кировск, ул. Краснофлотская, д. 11; </w:t>
      </w:r>
    </w:p>
    <w:p>
      <w:pPr>
        <w:pStyle w:val="Normal"/>
        <w:spacing w:before="0" w:after="200"/>
        <w:contextualSpacing/>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Кировский муниципальный район, г. Кировск, ул. Горького, д. 15;</w:t>
      </w:r>
    </w:p>
    <w:p>
      <w:pPr>
        <w:pStyle w:val="Normal"/>
        <w:spacing w:before="0" w:after="200"/>
        <w:contextualSpacing/>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Кировский муниципальный район, г. Кировск, ул. Комсомольская, д. 5;</w:t>
      </w:r>
    </w:p>
    <w:p>
      <w:pPr>
        <w:pStyle w:val="Normal"/>
        <w:spacing w:before="0" w:after="200"/>
        <w:contextualSpacing/>
        <w:jc w:val="both"/>
        <w:rPr>
          <w:rFonts w:ascii="Times New Roman" w:hAnsi="Times New Roman" w:eastAsia="Times New Roman" w:cs="Times New Roman"/>
          <w:bCs/>
          <w:sz w:val="28"/>
          <w:szCs w:val="28"/>
          <w:u w:val="single"/>
        </w:rPr>
      </w:pPr>
      <w:r>
        <w:rPr>
          <w:rFonts w:eastAsia="Times New Roman" w:cs="Times New Roman" w:ascii="Times New Roman" w:hAnsi="Times New Roman"/>
          <w:bCs/>
          <w:sz w:val="28"/>
          <w:szCs w:val="28"/>
          <w:u w:val="single"/>
        </w:rPr>
        <w:t>на период 2038-2040:</w:t>
      </w:r>
    </w:p>
    <w:p>
      <w:pPr>
        <w:pStyle w:val="Normal"/>
        <w:spacing w:before="0" w:after="200"/>
        <w:contextualSpacing/>
        <w:jc w:val="both"/>
        <w:rPr>
          <w:rFonts w:ascii="Times New Roman" w:hAnsi="Times New Roman" w:cs="Times New Roman"/>
          <w:bCs/>
          <w:sz w:val="28"/>
          <w:szCs w:val="28"/>
        </w:rPr>
      </w:pPr>
      <w:r>
        <w:rPr>
          <w:rFonts w:eastAsia="Times New Roman" w:cs="Times New Roman" w:ascii="Times New Roman" w:hAnsi="Times New Roman"/>
          <w:bCs/>
          <w:sz w:val="28"/>
          <w:szCs w:val="28"/>
        </w:rPr>
        <w:t>Всеволожский муниципальный район, г. Сертолово, микрорайон Сертолово-1, ул. Ларина, д. 1;</w:t>
      </w:r>
    </w:p>
    <w:p>
      <w:pPr>
        <w:pStyle w:val="Normal"/>
        <w:spacing w:before="0" w:after="200"/>
        <w:contextualSpacing/>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Выборгский муниципальный район, г. Каменногорск, ш. Ленинградское, д. 65а;</w:t>
      </w:r>
    </w:p>
    <w:p>
      <w:pPr>
        <w:pStyle w:val="Normal"/>
        <w:spacing w:before="0" w:after="200"/>
        <w:contextualSpacing/>
        <w:jc w:val="both"/>
        <w:rPr>
          <w:rFonts w:ascii="Times New Roman" w:hAnsi="Times New Roman" w:eastAsia="Times New Roman" w:cs="Times New Roman"/>
          <w:bCs/>
          <w:sz w:val="28"/>
          <w:szCs w:val="28"/>
        </w:rPr>
      </w:pPr>
      <w:r>
        <w:rPr>
          <w:rFonts w:eastAsia="Times New Roman" w:cs="Times New Roman" w:ascii="Times New Roman" w:hAnsi="Times New Roman"/>
          <w:bCs/>
          <w:sz w:val="28"/>
          <w:szCs w:val="28"/>
        </w:rPr>
        <w:t>Волховский муниципальный район, г. Новая Ладога, просп. К. Маркса, д. 58/1;</w:t>
      </w:r>
    </w:p>
    <w:p>
      <w:pPr>
        <w:pStyle w:val="Normal"/>
        <w:spacing w:before="0" w:after="200"/>
        <w:contextualSpacing/>
        <w:jc w:val="both"/>
        <w:rPr>
          <w:rFonts w:ascii="Times New Roman" w:hAnsi="Times New Roman" w:cs="Times New Roman"/>
          <w:bCs/>
          <w:sz w:val="28"/>
          <w:szCs w:val="28"/>
        </w:rPr>
      </w:pPr>
      <w:r>
        <w:rPr>
          <w:rFonts w:eastAsia="Times New Roman" w:cs="Times New Roman" w:ascii="Times New Roman" w:hAnsi="Times New Roman"/>
          <w:bCs/>
          <w:sz w:val="28"/>
          <w:szCs w:val="28"/>
        </w:rPr>
        <w:t xml:space="preserve">Волховский муниципальный район, г. Новая Ладога, просп. К. Маркса, д. 56/2. </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1</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ind w:right="142"/>
        <w:jc w:val="both"/>
        <w:rPr>
          <w:rFonts w:ascii="Times New Roman" w:hAnsi="Times New Roman" w:eastAsia="Times New Roman" w:cs="Times New Roman"/>
          <w:sz w:val="28"/>
          <w:szCs w:val="28"/>
        </w:rPr>
      </w:pPr>
      <w:r>
        <w:rPr>
          <w:rFonts w:eastAsia="Calibri" w:cs="Times New Roman" w:ascii="Times New Roman" w:hAnsi="Times New Roman"/>
          <w:color w:val="000000"/>
          <w:sz w:val="28"/>
          <w:szCs w:val="28"/>
        </w:rPr>
        <w:t xml:space="preserve">1.3) об </w:t>
      </w:r>
      <w:r>
        <w:rPr>
          <w:rFonts w:eastAsia="Times New Roman" w:cs="Times New Roman" w:ascii="Times New Roman" w:hAnsi="Times New Roman"/>
          <w:sz w:val="28"/>
          <w:szCs w:val="28"/>
        </w:rPr>
        <w:t xml:space="preserve">исключении из региональной программы многоквартирных домов в случаях, если многоквартирный дом признан аварийным и подлежащим сносу или реконструкции в порядке, установленном </w:t>
      </w:r>
      <w:hyperlink r:id="rId2" w:tgtFrame="https://login.consultant.ru/link/?req=doc&amp;base=LAW&amp;n=489041&amp;dst=100132">
        <w:r>
          <w:rPr>
            <w:rStyle w:val="Hyperlink"/>
            <w:rFonts w:eastAsia="Times New Roman" w:cs="Times New Roman" w:ascii="Times New Roman" w:hAnsi="Times New Roman"/>
            <w:color w:val="auto"/>
            <w:sz w:val="28"/>
            <w:szCs w:val="28"/>
            <w:u w:val="none"/>
          </w:rPr>
          <w:t>Положением</w:t>
        </w:r>
      </w:hyperlink>
      <w:r>
        <w:rPr>
          <w:rFonts w:eastAsia="Times New Roman" w:cs="Times New Roman" w:ascii="Times New Roman" w:hAnsi="Times New Roman"/>
          <w:sz w:val="28"/>
          <w:szCs w:val="28"/>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утвержденным постановлением Правительства Российской Федерации </w:t>
        <w:br/>
        <w:t>от 28 января 2006 года N 47</w:t>
      </w:r>
      <w:r>
        <w:rPr>
          <w:rFonts w:eastAsia="Calibri" w:cs="Times New Roman" w:ascii="Times New Roman" w:hAnsi="Times New Roman"/>
          <w:sz w:val="28"/>
          <w:szCs w:val="28"/>
        </w:rPr>
        <w:t>(подпункт 1 пункта 1.3.2. Порядка)</w:t>
      </w:r>
      <w:r>
        <w:rPr>
          <w:rFonts w:eastAsia="Times New Roman" w:cs="Times New Roman" w:ascii="Times New Roman" w:hAnsi="Times New Roman"/>
          <w:sz w:val="28"/>
          <w:szCs w:val="28"/>
        </w:rPr>
        <w:t>:</w:t>
      </w:r>
    </w:p>
    <w:p>
      <w:pPr>
        <w:pStyle w:val="Normal"/>
        <w:spacing w:before="0" w:after="200"/>
        <w:contextualSpacing/>
        <w:rPr>
          <w:rFonts w:ascii="Times New Roman" w:hAnsi="Times New Roman" w:eastAsia="Times New Roman" w:cs="Times New Roman"/>
          <w:b/>
          <w:sz w:val="28"/>
          <w:szCs w:val="28"/>
        </w:rPr>
      </w:pPr>
      <w:r>
        <w:rPr>
          <w:rFonts w:eastAsia="Times New Roman" w:cs="Times New Roman" w:ascii="Times New Roman" w:hAnsi="Times New Roman"/>
          <w:b/>
          <w:sz w:val="28"/>
          <w:szCs w:val="28"/>
        </w:rPr>
        <w:t>Гатчинский муниципальный округ, тер. Пижма (Мыза), д. 10;</w:t>
      </w:r>
    </w:p>
    <w:p>
      <w:pPr>
        <w:pStyle w:val="Normal"/>
        <w:spacing w:before="0" w:after="200"/>
        <w:contextualSpacing/>
        <w:rPr>
          <w:rFonts w:ascii="Times New Roman" w:hAnsi="Times New Roman" w:cs="Times New Roman"/>
          <w:bCs/>
          <w:sz w:val="28"/>
          <w:szCs w:val="28"/>
        </w:rPr>
      </w:pPr>
      <w:r>
        <w:rPr>
          <w:rFonts w:cs="Times New Roman" w:ascii="Times New Roman" w:hAnsi="Times New Roman"/>
          <w:b/>
          <w:sz w:val="28"/>
          <w:szCs w:val="28"/>
        </w:rPr>
        <w:t>Лодейнопольский муниципальный район, С. Алеховщина, ул. Школьная, д. 18.</w:t>
      </w:r>
    </w:p>
    <w:p>
      <w:pPr>
        <w:pStyle w:val="Normal"/>
        <w:spacing w:lineRule="auto" w:line="240" w:before="0" w:after="0"/>
        <w:jc w:val="both"/>
        <w:rPr>
          <w:rFonts w:ascii="Times New Roman" w:hAnsi="Times New Roman" w:eastAsia="Calibri" w:cs="Times New Roman"/>
          <w:bCs/>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Установили отсутствие необходимости проведения капитального ремонта общего имущества в многоквартирных домах, согласно заявлениям.</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1</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2) Рассмотрение заявления, представленного администрацией муниципального образования Синявинское городское поселение Кировского муниципального района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2.1) о переносе установленного срока капитального ремонта (отдельных услуг и(или) работ по капитальному ремонту) на более ранний период (срок) (подпункт 1 пункта 1.3.4 Порядка):</w:t>
      </w:r>
    </w:p>
    <w:p>
      <w:pPr>
        <w:pStyle w:val="Normal"/>
        <w:spacing w:lineRule="auto" w:line="240" w:before="0" w:after="0"/>
        <w:contextualSpacing/>
        <w:rPr>
          <w:rFonts w:ascii="Times New Roman" w:hAnsi="Times New Roman" w:eastAsia="Times New Roman" w:cs="Times New Roman"/>
          <w:sz w:val="28"/>
          <w:szCs w:val="28"/>
        </w:rPr>
      </w:pPr>
      <w:r>
        <w:rPr>
          <w:rFonts w:eastAsia="Times New Roman" w:cs="Times New Roman" w:ascii="Times New Roman" w:hAnsi="Times New Roman"/>
          <w:b/>
          <w:sz w:val="28"/>
          <w:szCs w:val="28"/>
        </w:rPr>
        <w:t>Кировский муниципальный район, г.п. Синявино, ул. Кравченко, д. 12</w:t>
      </w:r>
      <w:r>
        <w:rPr>
          <w:rFonts w:eastAsia="Times New Roman" w:cs="Times New Roman" w:ascii="Times New Roman" w:hAnsi="Times New Roman"/>
          <w:b/>
          <w:sz w:val="24"/>
          <w:szCs w:val="24"/>
        </w:rPr>
        <w:t xml:space="preserve"> </w:t>
      </w:r>
      <w:r>
        <w:rPr>
          <w:rFonts w:eastAsia="Times New Roman" w:cs="Times New Roman" w:ascii="Times New Roman" w:hAnsi="Times New Roman"/>
          <w:sz w:val="28"/>
          <w:szCs w:val="28"/>
        </w:rPr>
        <w:t xml:space="preserve">– перенос срока капитального ремонта крыши (ПИР+СМР) на более ранний </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w:t>
      </w:r>
      <w:r>
        <w:rPr>
          <w:rFonts w:eastAsia="Calibri" w:cs="Times New Roman" w:ascii="Times New Roman" w:hAnsi="Times New Roman"/>
          <w:sz w:val="28"/>
          <w:szCs w:val="28"/>
        </w:rPr>
        <w:t>Установили необходимость переноса сроков проведения капитального ремонта крыши (ПИР + СМР) в многоквартирном доме на более ранний период</w:t>
        <w:br/>
        <w:t>2029-2031 годов.</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2</w:t>
      </w:r>
    </w:p>
    <w:p>
      <w:pPr>
        <w:pStyle w:val="Normal"/>
        <w:spacing w:lineRule="auto" w:line="240" w:before="0" w:after="0"/>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3) Рассмотрение заявлений, представленных администрацией Всеволожского муниципального района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3.1) о переносе установленного срока капитального ремонта (отдельных услуг и(или) работ по капитальному ремонту) на более ранний период (срок) (подпункт 1 пункта 1.3.4 Порядка):</w:t>
      </w:r>
    </w:p>
    <w:p>
      <w:pPr>
        <w:pStyle w:val="Normal"/>
        <w:spacing w:lineRule="auto" w:line="240" w:before="0" w:after="0"/>
        <w:contextualSpacing/>
        <w:rPr>
          <w:rFonts w:ascii="Times New Roman" w:hAnsi="Times New Roman" w:eastAsia="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г. Всеволожск, ул. Ленинградская, д. 5 </w:t>
      </w:r>
      <w:r>
        <w:rPr>
          <w:rFonts w:eastAsia="Times New Roman" w:cs="Times New Roman" w:ascii="Times New Roman" w:hAnsi="Times New Roman"/>
          <w:sz w:val="28"/>
          <w:szCs w:val="28"/>
        </w:rPr>
        <w:t>– перенос срока капитального ремонта фасада (ПИР+СМР) на более ранний;</w:t>
      </w:r>
    </w:p>
    <w:p>
      <w:pPr>
        <w:pStyle w:val="Normal"/>
        <w:spacing w:lineRule="auto" w:line="240" w:before="0" w:after="0"/>
        <w:contextualSpacing/>
        <w:rPr>
          <w:rFonts w:ascii="Times New Roman" w:hAnsi="Times New Roman" w:eastAsia="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г. Всеволожск, ул. Ленинградская, д. 17 - </w:t>
      </w:r>
      <w:r>
        <w:rPr>
          <w:rFonts w:eastAsia="Times New Roman" w:cs="Times New Roman" w:ascii="Times New Roman" w:hAnsi="Times New Roman"/>
          <w:sz w:val="28"/>
          <w:szCs w:val="28"/>
        </w:rPr>
        <w:t>перенос срока капитального ремонта фасада (ПИР+СМР) на более ранний.</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w:t>
      </w:r>
      <w:r>
        <w:rPr>
          <w:rFonts w:eastAsia="Calibri" w:cs="Times New Roman" w:ascii="Times New Roman" w:hAnsi="Times New Roman"/>
          <w:sz w:val="28"/>
          <w:szCs w:val="28"/>
        </w:rPr>
        <w:t>Установили необходимость переноса сроков проведения капитального ремонта фасадов (ПИР + СМР) в многоквартирных домах на более ранний период</w:t>
        <w:br/>
        <w:t>2029-2031 годов.</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3</w:t>
      </w:r>
    </w:p>
    <w:p>
      <w:pPr>
        <w:pStyle w:val="Normal"/>
        <w:spacing w:lineRule="auto" w:line="240" w:before="0" w:after="0"/>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4) Рассмотрение заявления, представленного администрацией Тихвинского муниципального района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4.1) о переносе установленного срока капитального ремонта (отдельных услуг и(или) работ по капитальному ремонту) на более ранний период (срок) (подпункт 1 пункта 1.3.4 Порядка):</w:t>
      </w:r>
    </w:p>
    <w:p>
      <w:pPr>
        <w:pStyle w:val="Normal"/>
        <w:spacing w:lineRule="auto" w:line="240" w:before="0" w:after="0"/>
        <w:contextualSpacing/>
        <w:jc w:val="both"/>
        <w:rPr>
          <w:rFonts w:ascii="Times New Roman" w:hAnsi="Times New Roman" w:eastAsia="Times New Roman" w:cs="Times New Roman"/>
          <w:sz w:val="28"/>
          <w:szCs w:val="28"/>
        </w:rPr>
      </w:pPr>
      <w:r>
        <w:rPr>
          <w:rFonts w:eastAsia="Times New Roman" w:cs="Times New Roman" w:ascii="Times New Roman" w:hAnsi="Times New Roman"/>
          <w:b/>
          <w:sz w:val="28"/>
          <w:szCs w:val="28"/>
        </w:rPr>
        <w:t xml:space="preserve">Тихвинский муниципальный район, г. Тихвин, 3 микрорайон, д. 32 </w:t>
      </w:r>
      <w:r>
        <w:rPr>
          <w:rFonts w:eastAsia="Times New Roman" w:cs="Times New Roman" w:ascii="Times New Roman" w:hAnsi="Times New Roman"/>
          <w:sz w:val="28"/>
          <w:szCs w:val="28"/>
        </w:rPr>
        <w:t>– перенос срока капитального ремонта крыши (ПИР+СМР) и фасада (ПИР+СМР) на более ранний;</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w:t>
      </w:r>
      <w:r>
        <w:rPr>
          <w:rFonts w:eastAsia="Calibri" w:cs="Times New Roman" w:ascii="Times New Roman" w:hAnsi="Times New Roman"/>
          <w:sz w:val="28"/>
          <w:szCs w:val="28"/>
        </w:rPr>
        <w:t xml:space="preserve">Установили необходимость переноса сроков проведения капитального ремонта крыши (ПИР+СМР) и фасада (ПИР + СМР) в многоквартирном доме на более ранний период 2026-2028 годов </w:t>
      </w:r>
      <w:r>
        <w:rPr>
          <w:rFonts w:eastAsia="Calibri" w:cs="Times New Roman" w:ascii="Times New Roman" w:hAnsi="Times New Roman"/>
          <w:b/>
          <w:bCs/>
          <w:sz w:val="28"/>
          <w:szCs w:val="28"/>
        </w:rPr>
        <w:t>(2028 год).</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4</w:t>
      </w:r>
    </w:p>
    <w:p>
      <w:pPr>
        <w:pStyle w:val="Normal"/>
        <w:spacing w:lineRule="auto" w:line="240" w:before="0" w:after="0"/>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5) Рассмотрение заявления, представленного ООО «УК «Рекорд»/ Всеволожский муниципальный район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5.1) о переносе установленного срока капитального ремонта (отдельных услуг и(или) работ по капитальному ремонту) на более ранний период (срок) (подпункт 1 пункта 1.3.4 Порядка):</w:t>
      </w:r>
    </w:p>
    <w:p>
      <w:pPr>
        <w:pStyle w:val="Normal"/>
        <w:spacing w:lineRule="auto" w:line="240" w:before="0" w:after="0"/>
        <w:contextualSpacing/>
        <w:jc w:val="both"/>
        <w:rPr>
          <w:rFonts w:ascii="Times New Roman" w:hAnsi="Times New Roman" w:eastAsia="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дер. Новое Девяткино, ул. Ветеранов, </w:t>
        <w:br/>
        <w:t xml:space="preserve">д. 16 </w:t>
      </w:r>
      <w:r>
        <w:rPr>
          <w:rFonts w:eastAsia="Times New Roman" w:cs="Times New Roman" w:ascii="Times New Roman" w:hAnsi="Times New Roman"/>
          <w:sz w:val="28"/>
          <w:szCs w:val="28"/>
        </w:rPr>
        <w:t>– перенос срока капитального ремонта ВДИС ЭС и ВДИС ХВС на более ранний;</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Вернуть документы заявителю в связи с представлением документов не в полном объеме в соответствии с пп. 6 п. 3.17. Порядка и в связи с оформлением документов не в соответствии с требованиями п. 3.10.1 Порядка.</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5</w:t>
      </w:r>
    </w:p>
    <w:p>
      <w:pPr>
        <w:pStyle w:val="Normal"/>
        <w:spacing w:lineRule="auto" w:line="240" w:before="0" w:after="0"/>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 xml:space="preserve">6) Рассмотрение заявления, представленного ООО «Возрождение Тихвин» </w:t>
        <w:br/>
        <w:t>г. Тихвин/  Тихвинский муниципальный район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6.1) о переносе установленного срока капитального ремонта (отдельных услуг и(или) работ по капитальному ремонту) на более ранний период (срок) (подпункт 1 пункта 1.3.4 Порядка):</w:t>
      </w:r>
    </w:p>
    <w:p>
      <w:pPr>
        <w:pStyle w:val="Normal"/>
        <w:spacing w:lineRule="auto" w:line="240" w:before="0" w:after="0"/>
        <w:contextualSpacing/>
        <w:jc w:val="both"/>
        <w:rPr>
          <w:rFonts w:ascii="Times New Roman" w:hAnsi="Times New Roman" w:eastAsia="Times New Roman" w:cs="Times New Roman"/>
          <w:sz w:val="28"/>
          <w:szCs w:val="28"/>
        </w:rPr>
      </w:pPr>
      <w:r>
        <w:rPr>
          <w:rFonts w:eastAsia="Times New Roman" w:cs="Times New Roman" w:ascii="Times New Roman" w:hAnsi="Times New Roman"/>
          <w:b/>
          <w:sz w:val="28"/>
          <w:szCs w:val="28"/>
        </w:rPr>
        <w:t xml:space="preserve">Тихвинский муниципальный район, г. Тихвин, 4 микрорайон, д. 40 </w:t>
      </w:r>
      <w:r>
        <w:rPr>
          <w:rFonts w:eastAsia="Times New Roman" w:cs="Times New Roman" w:ascii="Times New Roman" w:hAnsi="Times New Roman"/>
          <w:sz w:val="28"/>
          <w:szCs w:val="28"/>
        </w:rPr>
        <w:t>– перенос срока капитального ремонта крыши (ПИР+СМР) и фасада (ПИР+СМР) на более ранний;</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w:t>
      </w:r>
      <w:r>
        <w:rPr>
          <w:rFonts w:eastAsia="Calibri" w:cs="Times New Roman" w:ascii="Times New Roman" w:hAnsi="Times New Roman"/>
          <w:sz w:val="28"/>
          <w:szCs w:val="28"/>
        </w:rPr>
        <w:t xml:space="preserve">Установили необходимость переноса сроков проведения капитального ремонта крыши (ПИР+СМР) и фасада (ПИР + СМР) в многоквартирном доме на более ранний период 2026-2028 годов </w:t>
      </w:r>
      <w:r>
        <w:rPr>
          <w:rFonts w:eastAsia="Calibri" w:cs="Times New Roman" w:ascii="Times New Roman" w:hAnsi="Times New Roman"/>
          <w:b/>
          <w:bCs/>
          <w:sz w:val="28"/>
          <w:szCs w:val="28"/>
        </w:rPr>
        <w:t>(2028 год).</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6</w:t>
      </w:r>
    </w:p>
    <w:p>
      <w:pPr>
        <w:pStyle w:val="Normal"/>
        <w:spacing w:lineRule="auto" w:line="240" w:before="0" w:after="0"/>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7) Рассмотрение заявления, представленного администрацией муниципального образования Глажевское сельское поселение Киришского муниципального района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7.1) о переносе установленного срока капитального ремонта (отдельных услуг и(или) работ по капитальному ремонту) на более ранний период (срок) (подпункт 1 пункта 1.3.4 Порядка):</w:t>
      </w:r>
    </w:p>
    <w:p>
      <w:pPr>
        <w:pStyle w:val="Normal"/>
        <w:spacing w:lineRule="auto" w:line="240" w:before="0" w:after="0"/>
        <w:contextualSpacing/>
        <w:rPr>
          <w:rFonts w:ascii="Times New Roman" w:hAnsi="Times New Roman" w:eastAsia="Times New Roman" w:cs="Times New Roman"/>
          <w:sz w:val="28"/>
          <w:szCs w:val="28"/>
        </w:rPr>
      </w:pPr>
      <w:r>
        <w:rPr>
          <w:rFonts w:eastAsia="Times New Roman" w:cs="Times New Roman" w:ascii="Times New Roman" w:hAnsi="Times New Roman"/>
          <w:b/>
          <w:sz w:val="28"/>
          <w:szCs w:val="28"/>
        </w:rPr>
        <w:t xml:space="preserve">Киришский муниципальный район, п. Глажево, д. 6 </w:t>
      </w:r>
      <w:r>
        <w:rPr>
          <w:rFonts w:eastAsia="Times New Roman" w:cs="Times New Roman" w:ascii="Times New Roman" w:hAnsi="Times New Roman"/>
          <w:sz w:val="28"/>
          <w:szCs w:val="28"/>
        </w:rPr>
        <w:t xml:space="preserve">– перенос срока капитального ремонта крыши (СМР) </w:t>
      </w:r>
    </w:p>
    <w:p>
      <w:pPr>
        <w:pStyle w:val="Normal"/>
        <w:spacing w:lineRule="auto" w:line="240" w:before="0" w:after="0"/>
        <w:jc w:val="both"/>
        <w:rPr>
          <w:rFonts w:ascii="Times New Roman" w:hAnsi="Times New Roman" w:eastAsia="Times New Roman" w:cs="Times New Roman"/>
          <w:b/>
          <w:bCs/>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w:t>
      </w:r>
      <w:r>
        <w:rPr>
          <w:rFonts w:eastAsia="Calibri" w:cs="Times New Roman" w:ascii="Times New Roman" w:hAnsi="Times New Roman"/>
          <w:sz w:val="28"/>
          <w:szCs w:val="28"/>
        </w:rPr>
        <w:t xml:space="preserve">Установили необходимость проведения капитального ремонта крыши (СМР) в многоквартирном доме в период 2029-2031 годов </w:t>
      </w:r>
      <w:r>
        <w:rPr>
          <w:rFonts w:eastAsia="Calibri" w:cs="Times New Roman" w:ascii="Times New Roman" w:hAnsi="Times New Roman"/>
          <w:b/>
          <w:bCs/>
          <w:sz w:val="28"/>
          <w:szCs w:val="28"/>
        </w:rPr>
        <w:t>(2029 год).</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7</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8) Рассмотрение заявления, представленного администрацией Выборгского муниципального района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8.1) о переносе установленного срока капитального ремонта (отдельных услуг и(или) работ по капитальному ремонту) на более ранний период (срок) (подпункт 1 пункта 1.3.4 Порядка):</w:t>
      </w:r>
    </w:p>
    <w:p>
      <w:pPr>
        <w:pStyle w:val="Normal"/>
        <w:spacing w:lineRule="auto" w:line="240" w:before="0" w:after="0"/>
        <w:contextualSpacing/>
        <w:jc w:val="both"/>
        <w:rPr>
          <w:rFonts w:ascii="Times New Roman" w:hAnsi="Times New Roman" w:eastAsia="Times New Roman" w:cs="Times New Roman"/>
          <w:sz w:val="28"/>
          <w:szCs w:val="28"/>
        </w:rPr>
      </w:pPr>
      <w:r>
        <w:rPr>
          <w:rFonts w:eastAsia="Times New Roman" w:cs="Times New Roman" w:ascii="Times New Roman" w:hAnsi="Times New Roman"/>
          <w:b/>
          <w:sz w:val="28"/>
          <w:szCs w:val="28"/>
        </w:rPr>
        <w:t>Выборгский муниципальный район, г. Выборг, ул. Железнодорожная, д. 9/</w:t>
      </w:r>
      <w:r>
        <w:rPr>
          <w:rFonts w:eastAsia="Times New Roman" w:cs="Times New Roman" w:ascii="Times New Roman" w:hAnsi="Times New Roman"/>
          <w:b/>
          <w:sz w:val="24"/>
          <w:szCs w:val="24"/>
        </w:rPr>
        <w:t xml:space="preserve">15 </w:t>
      </w:r>
      <w:r>
        <w:rPr>
          <w:rFonts w:eastAsia="Times New Roman" w:cs="Times New Roman" w:ascii="Times New Roman" w:hAnsi="Times New Roman"/>
          <w:sz w:val="28"/>
          <w:szCs w:val="28"/>
        </w:rPr>
        <w:t>– перенос срока капитального ремонта фасада (ПИР+СМР) на более ранний;</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w:t>
      </w:r>
      <w:r>
        <w:rPr>
          <w:rFonts w:eastAsia="Calibri" w:cs="Times New Roman" w:ascii="Times New Roman" w:hAnsi="Times New Roman"/>
          <w:sz w:val="28"/>
          <w:szCs w:val="28"/>
        </w:rPr>
        <w:t>Установили необходимость проведения капитального ремонта фасада (ПИР+СМР) в многоквартирном доме в период 2029-2031 годов.</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8</w:t>
      </w:r>
    </w:p>
    <w:p>
      <w:pPr>
        <w:pStyle w:val="Normal"/>
        <w:spacing w:lineRule="auto" w:line="240" w:before="0" w:after="0"/>
        <w:jc w:val="both"/>
        <w:rPr>
          <w:rFonts w:ascii="Times New Roman" w:hAnsi="Times New Roman" w:eastAsia="Calibri" w:cs="Times New Roman"/>
          <w:b/>
          <w:bCs/>
          <w:sz w:val="28"/>
          <w:szCs w:val="28"/>
        </w:rPr>
      </w:pPr>
      <w:r>
        <w:rPr>
          <w:rFonts w:eastAsia="Calibri" w:cs="Times New Roman" w:ascii="Times New Roman" w:hAnsi="Times New Roman"/>
          <w:b/>
          <w:bCs/>
          <w:sz w:val="28"/>
          <w:szCs w:val="28"/>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9) Рассмотрение заявлений, представленных администрацией муниципального образования Свирицкое сельское поселение Волховского муниципального района Ленинградской области:</w:t>
      </w:r>
    </w:p>
    <w:p>
      <w:pPr>
        <w:pStyle w:val="Normal"/>
        <w:spacing w:lineRule="auto" w:line="240" w:before="0" w:after="0"/>
        <w:jc w:val="both"/>
        <w:rPr>
          <w:rFonts w:ascii="Times New Roman" w:hAnsi="Times New Roman" w:eastAsia="Times New Roman" w:cs="Times New Roman"/>
          <w:b/>
          <w:sz w:val="24"/>
          <w:szCs w:val="24"/>
        </w:rPr>
      </w:pPr>
      <w:r>
        <w:rPr>
          <w:rFonts w:eastAsia="Calibri" w:cs="Times New Roman" w:ascii="Times New Roman" w:hAnsi="Times New Roman"/>
          <w:sz w:val="28"/>
          <w:szCs w:val="28"/>
        </w:rPr>
        <w:t>9.1) о переносе установленного срока капитального ремонта (отдельных услуг и(или) работ по капитальному ремонту) на более ранний период (срок) (подпункт 1 пункта 1.3.4 Порядка):</w:t>
      </w:r>
      <w:r>
        <w:rPr>
          <w:rFonts w:eastAsia="Times New Roman" w:cs="Times New Roman" w:ascii="Times New Roman" w:hAnsi="Times New Roman"/>
          <w:b/>
          <w:sz w:val="24"/>
          <w:szCs w:val="24"/>
        </w:rPr>
        <w:t xml:space="preserve"> </w:t>
      </w:r>
    </w:p>
    <w:p>
      <w:pPr>
        <w:pStyle w:val="Normal"/>
        <w:spacing w:before="0" w:after="0"/>
        <w:contextualSpacing/>
        <w:rPr>
          <w:rFonts w:ascii="Times New Roman" w:hAnsi="Times New Roman" w:eastAsia="Times New Roman" w:cs="Times New Roman"/>
          <w:sz w:val="28"/>
          <w:szCs w:val="28"/>
        </w:rPr>
      </w:pPr>
      <w:r>
        <w:rPr>
          <w:rFonts w:eastAsia="Times New Roman" w:cs="Times New Roman" w:ascii="Times New Roman" w:hAnsi="Times New Roman"/>
          <w:b/>
          <w:sz w:val="28"/>
          <w:szCs w:val="28"/>
        </w:rPr>
        <w:t xml:space="preserve">Волховский муниципальный район, п. Свирица, ул. Старая Свирица, д. 9а </w:t>
      </w:r>
      <w:r>
        <w:rPr>
          <w:rFonts w:eastAsia="Times New Roman" w:cs="Times New Roman" w:ascii="Times New Roman" w:hAnsi="Times New Roman"/>
          <w:sz w:val="28"/>
          <w:szCs w:val="28"/>
        </w:rPr>
        <w:t>– перенос срока капитального ремонта крыши ПИР + СМР и фасада СМР + ПИР на более ранний;</w:t>
      </w:r>
    </w:p>
    <w:p>
      <w:pPr>
        <w:pStyle w:val="Normal"/>
        <w:spacing w:before="0" w:after="0"/>
        <w:contextualSpacing/>
        <w:rPr>
          <w:rFonts w:ascii="Times New Roman" w:hAnsi="Times New Roman" w:eastAsia="Times New Roman" w:cs="Times New Roman"/>
          <w:sz w:val="28"/>
          <w:szCs w:val="28"/>
        </w:rPr>
      </w:pPr>
      <w:r>
        <w:rPr>
          <w:rFonts w:eastAsia="Times New Roman" w:cs="Times New Roman" w:ascii="Times New Roman" w:hAnsi="Times New Roman"/>
          <w:b/>
          <w:sz w:val="28"/>
          <w:szCs w:val="28"/>
        </w:rPr>
        <w:t xml:space="preserve">Волховский муниципальный район, п. Свирица, ул. Старая Свирица, д. 8 </w:t>
      </w:r>
      <w:r>
        <w:rPr>
          <w:rFonts w:eastAsia="Times New Roman" w:cs="Times New Roman" w:ascii="Times New Roman" w:hAnsi="Times New Roman"/>
          <w:sz w:val="28"/>
          <w:szCs w:val="28"/>
        </w:rPr>
        <w:t>– перенос срока капитального ремонта крыши ПИР + СМР на более ранний;</w:t>
      </w:r>
    </w:p>
    <w:p>
      <w:pPr>
        <w:pStyle w:val="Normal"/>
        <w:spacing w:before="0" w:after="0"/>
        <w:contextualSpacing/>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b/>
          <w:sz w:val="28"/>
          <w:szCs w:val="28"/>
        </w:rPr>
        <w:t xml:space="preserve">Волховский муниципальный район, п. Свирица, ул. Старая Свирица, д. 9Б </w:t>
      </w:r>
      <w:r>
        <w:rPr>
          <w:rFonts w:eastAsia="Times New Roman" w:cs="Times New Roman" w:ascii="Times New Roman" w:hAnsi="Times New Roman"/>
          <w:sz w:val="28"/>
          <w:szCs w:val="28"/>
        </w:rPr>
        <w:t>– перенос срока капитального ремонта крыши ПИР + СМР и фасада СМР + ПИР на более ранний;</w:t>
      </w:r>
    </w:p>
    <w:p>
      <w:pPr>
        <w:pStyle w:val="Normal"/>
        <w:spacing w:before="0" w:after="0"/>
        <w:contextualSpacing/>
        <w:rPr>
          <w:rFonts w:ascii="Times New Roman" w:hAnsi="Times New Roman" w:eastAsia="Times New Roman" w:cs="Times New Roman"/>
          <w:sz w:val="28"/>
          <w:szCs w:val="28"/>
        </w:rPr>
      </w:pPr>
      <w:r>
        <w:rPr>
          <w:rFonts w:eastAsia="Times New Roman" w:cs="Times New Roman" w:ascii="Times New Roman" w:hAnsi="Times New Roman"/>
          <w:b/>
          <w:sz w:val="28"/>
          <w:szCs w:val="28"/>
        </w:rPr>
        <w:t xml:space="preserve">Волховский муниципальный район, п. Свирица, ул. Старая Свирица, д. 10 </w:t>
      </w:r>
      <w:r>
        <w:rPr>
          <w:rFonts w:eastAsia="Times New Roman" w:cs="Times New Roman" w:ascii="Times New Roman" w:hAnsi="Times New Roman"/>
          <w:sz w:val="28"/>
          <w:szCs w:val="28"/>
        </w:rPr>
        <w:t xml:space="preserve">– перенос срока капитального ремонта крыши ПИР + СМР на более ранний; </w:t>
      </w:r>
    </w:p>
    <w:p>
      <w:pPr>
        <w:pStyle w:val="Normal"/>
        <w:spacing w:before="0" w:after="0"/>
        <w:contextualSpacing/>
        <w:rPr>
          <w:rFonts w:ascii="Times New Roman" w:hAnsi="Times New Roman" w:eastAsia="Times New Roman" w:cs="Times New Roman"/>
          <w:sz w:val="28"/>
          <w:szCs w:val="28"/>
        </w:rPr>
      </w:pPr>
      <w:r>
        <w:rPr>
          <w:rFonts w:eastAsia="Times New Roman" w:cs="Times New Roman" w:ascii="Times New Roman" w:hAnsi="Times New Roman"/>
          <w:b/>
          <w:sz w:val="28"/>
          <w:szCs w:val="28"/>
        </w:rPr>
        <w:t xml:space="preserve">Волховский муниципальный район, п. Свирица, ул. Новая Свирица, д. 13 </w:t>
      </w:r>
      <w:r>
        <w:rPr>
          <w:rFonts w:eastAsia="Times New Roman" w:cs="Times New Roman" w:ascii="Times New Roman" w:hAnsi="Times New Roman"/>
          <w:sz w:val="28"/>
          <w:szCs w:val="28"/>
        </w:rPr>
        <w:t>– перенос срока капитального ремонта крыши ПИР + СМР на более ранний.</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Вернуть документы заявителю в связи с представлением документов не в полном объеме в соответствии с пп. 6 п. 3.17. Порядка и в связи с оформлением документов не в соответствии с требованиями п. 3.10.1 Порядка.</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9</w:t>
      </w:r>
    </w:p>
    <w:p>
      <w:pPr>
        <w:pStyle w:val="Normal"/>
        <w:spacing w:lineRule="auto" w:line="240" w:before="0" w:after="0"/>
        <w:jc w:val="both"/>
        <w:rPr>
          <w:rFonts w:ascii="Times New Roman" w:hAnsi="Times New Roman" w:eastAsia="Calibri" w:cs="Times New Roman"/>
          <w:b/>
          <w:bCs/>
          <w:sz w:val="28"/>
          <w:szCs w:val="28"/>
        </w:rPr>
      </w:pPr>
      <w:r>
        <w:rPr>
          <w:rFonts w:eastAsia="Calibri" w:cs="Times New Roman" w:ascii="Times New Roman" w:hAnsi="Times New Roman"/>
          <w:b/>
          <w:bCs/>
          <w:sz w:val="28"/>
          <w:szCs w:val="28"/>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10) Рассмотрение заявлений, представленных администрацией Всеволожского муниципального района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10.1) о включении в региональную программу многоквартирных домов в случаях, если многоквартирные дома введены в эксплуатацию после завершения строительства или </w:t>
      </w:r>
      <w:r>
        <w:rPr>
          <w:rFonts w:eastAsia="Times New Roman" w:cs="Times New Roman" w:ascii="Times New Roman" w:hAnsi="Times New Roman"/>
          <w:sz w:val="28"/>
          <w:szCs w:val="28"/>
        </w:rPr>
        <w:t>реконструкции</w:t>
      </w:r>
      <w:r>
        <w:rPr>
          <w:rFonts w:eastAsia="Calibri" w:cs="Times New Roman" w:ascii="Times New Roman" w:hAnsi="Times New Roman"/>
          <w:sz w:val="28"/>
          <w:szCs w:val="28"/>
        </w:rPr>
        <w:t xml:space="preserve"> (подпункт 1 пункта 1.3.1 Порядка):</w:t>
      </w:r>
    </w:p>
    <w:p>
      <w:pPr>
        <w:pStyle w:val="Normal"/>
        <w:spacing w:before="0" w:after="200"/>
        <w:contextualSpacing/>
        <w:rPr>
          <w:rFonts w:ascii="Times New Roman" w:hAnsi="Times New Roman" w:eastAsia="Times New Roman" w:cs="Times New Roman"/>
          <w:b/>
          <w:sz w:val="28"/>
          <w:szCs w:val="28"/>
        </w:rPr>
      </w:pPr>
      <w:r>
        <w:rPr>
          <w:rFonts w:eastAsia="Times New Roman" w:cs="Times New Roman" w:ascii="Times New Roman" w:hAnsi="Times New Roman"/>
          <w:b/>
          <w:sz w:val="28"/>
          <w:szCs w:val="28"/>
        </w:rPr>
        <w:t>Всеволожский муниципальный район, г. Всеволожск, ул. Евграфова, д. 11;</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г. Всеволожск, ул. Взлетная, д. 14; </w:t>
      </w:r>
    </w:p>
    <w:p>
      <w:pPr>
        <w:pStyle w:val="Normal"/>
        <w:spacing w:before="0" w:after="200"/>
        <w:contextualSpacing/>
        <w:rPr>
          <w:rFonts w:ascii="Times New Roman" w:hAnsi="Times New Roman" w:eastAsia="Times New Roman" w:cs="Times New Roman"/>
          <w:b/>
          <w:sz w:val="28"/>
          <w:szCs w:val="28"/>
        </w:rPr>
      </w:pPr>
      <w:r>
        <w:rPr>
          <w:rFonts w:eastAsia="Times New Roman" w:cs="Times New Roman" w:ascii="Times New Roman" w:hAnsi="Times New Roman"/>
          <w:b/>
          <w:sz w:val="28"/>
          <w:szCs w:val="28"/>
        </w:rPr>
        <w:t>Всеволожский муниципальный район, г. Всеволожск, ул. Симферопольская,</w:t>
        <w:br/>
        <w:t>д. 2, к. 3;</w:t>
      </w:r>
    </w:p>
    <w:p>
      <w:pPr>
        <w:pStyle w:val="Normal"/>
        <w:spacing w:before="0" w:after="200"/>
        <w:contextualSpacing/>
        <w:rPr>
          <w:rFonts w:ascii="Times New Roman" w:hAnsi="Times New Roman" w:eastAsia="Times New Roman" w:cs="Times New Roman"/>
          <w:b/>
          <w:sz w:val="28"/>
          <w:szCs w:val="28"/>
        </w:rPr>
      </w:pPr>
      <w:r>
        <w:rPr>
          <w:rFonts w:eastAsia="Times New Roman" w:cs="Times New Roman" w:ascii="Times New Roman" w:hAnsi="Times New Roman"/>
          <w:b/>
          <w:sz w:val="28"/>
          <w:szCs w:val="28"/>
        </w:rPr>
        <w:t>Всеволожский муниципальный район, г. Всеволожск, ул. Симферопольская,</w:t>
        <w:br/>
        <w:t>д. 2, к. 2;</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Всеволожский муниципальный район, г. Всеволожск, ул. Симферопольская,</w:t>
        <w:br/>
        <w:t xml:space="preserve">д. 2, к. 1; </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г. Всеволожск, ул. Керченская, д. 1, к. 3; </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г. Всеволожск, ул. Керченская, д. 1, к. 2; </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Всеволожский муниципальный район, г. Всеволожск, ул. Керченская, д. 1, к. 1;</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п. Ковалево, ул. Александра Разгонина, д. 2, к. 2; </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п. Ковалево, ул. Александра Разгонина, д. 2, к. 1; </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Всеволожский муниципальный район, п. Ковалево, ул. Александра Разгонина, д. 1, к. 3;</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п. Ковалево, ул. Александра Разгонина, д. 1, к. 2; </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п. Ковалево, ул. Александра Разгонина, д. 1, к. 1; </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п. Ковалево, ул. Василия Мациевича, д. 8, к. 1; </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п. Ковалево, ул. Василия Мациевича, д. 8, к. 2; </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Всеволожский муниципальный район, п. Ковалево, ул. Василия Мациевича, д. 8, к. 3.</w:t>
      </w:r>
    </w:p>
    <w:p>
      <w:pPr>
        <w:pStyle w:val="Normal"/>
        <w:spacing w:lineRule="auto" w:line="240" w:before="0" w:after="0"/>
        <w:jc w:val="both"/>
        <w:rPr>
          <w:rFonts w:ascii="Times New Roman" w:hAnsi="Times New Roman" w:eastAsia="Calibri" w:cs="Times New Roman"/>
          <w:bCs/>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Установили необходимость проведение капитального ремонта в многоквартирных домах начиная с периода 2050-2052 годов региональной программы капитального ремонта (Лифты – 2050 год).</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10</w:t>
      </w:r>
    </w:p>
    <w:p>
      <w:pPr>
        <w:pStyle w:val="Normal"/>
        <w:spacing w:lineRule="auto" w:line="240" w:before="0" w:after="200"/>
        <w:contextual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11) Рассмотрение заявления, представленного администрацией МО «Муринское городское поселение» Всеволожского муниципального района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11.1) о включении в региональную программу многоквартирных домов в случаях, если многоквартирные дома введены в эксплуатацию после завершения строительства или </w:t>
      </w:r>
      <w:r>
        <w:rPr>
          <w:rFonts w:eastAsia="Times New Roman" w:cs="Times New Roman" w:ascii="Times New Roman" w:hAnsi="Times New Roman"/>
          <w:sz w:val="28"/>
          <w:szCs w:val="28"/>
        </w:rPr>
        <w:t>реконструкции</w:t>
      </w:r>
      <w:r>
        <w:rPr>
          <w:rFonts w:eastAsia="Calibri" w:cs="Times New Roman" w:ascii="Times New Roman" w:hAnsi="Times New Roman"/>
          <w:sz w:val="28"/>
          <w:szCs w:val="28"/>
        </w:rPr>
        <w:t xml:space="preserve"> (подпункт 1 пункта 1.3.1 Порядка):</w:t>
      </w:r>
    </w:p>
    <w:p>
      <w:pPr>
        <w:pStyle w:val="Normal"/>
        <w:spacing w:lineRule="auto" w:line="240"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Всеволожский муниципальный район, г. Мурино, ул. Шувалова, д. 34;</w:t>
      </w:r>
    </w:p>
    <w:p>
      <w:pPr>
        <w:pStyle w:val="Normal"/>
        <w:spacing w:lineRule="auto" w:line="240" w:before="0" w:after="0"/>
        <w:jc w:val="both"/>
        <w:rPr>
          <w:rFonts w:ascii="Times New Roman" w:hAnsi="Times New Roman" w:eastAsia="Calibri" w:cs="Times New Roman"/>
          <w:bCs/>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Установили необходимость проведение капитального ремонта в многоквартирном доме начиная с периода 2050-2052 годов региональной программы капитального ремонта (Лифты – 2049 год).</w:t>
      </w:r>
    </w:p>
    <w:p>
      <w:pPr>
        <w:pStyle w:val="Normal"/>
        <w:spacing w:lineRule="auto" w:line="240" w:before="0" w:after="0"/>
        <w:ind w:firstLine="851"/>
        <w:jc w:val="both"/>
        <w:rPr>
          <w:rFonts w:ascii="Times New Roman" w:hAnsi="Times New Roman" w:eastAsia="Calibri" w:cs="Times New Roman"/>
          <w:color w:val="000000"/>
          <w:sz w:val="28"/>
          <w:szCs w:val="28"/>
          <w:u w:val="single"/>
        </w:rPr>
      </w:pPr>
      <w:r>
        <w:rPr>
          <w:rFonts w:eastAsia="Calibri" w:cs="Times New Roman" w:ascii="Times New Roman" w:hAnsi="Times New Roman"/>
          <w:sz w:val="28"/>
          <w:szCs w:val="28"/>
        </w:rPr>
        <w:t xml:space="preserve"> </w:t>
      </w:r>
      <w:r>
        <w:rPr>
          <w:rFonts w:eastAsia="Calibri" w:cs="Times New Roman" w:ascii="Times New Roman" w:hAnsi="Times New Roman"/>
          <w:color w:val="000000"/>
          <w:sz w:val="28"/>
          <w:szCs w:val="28"/>
          <w:u w:val="single"/>
        </w:rPr>
        <w:t>Приложение № 11</w:t>
      </w:r>
    </w:p>
    <w:p>
      <w:pPr>
        <w:pStyle w:val="Normal"/>
        <w:spacing w:lineRule="auto" w:line="240" w:before="0" w:after="0"/>
        <w:ind w:firstLine="851"/>
        <w:jc w:val="both"/>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12) Рассмотрение заявления, представленного администрацией МО «Лисинское сельское поселение» Тосненского муниципального района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12.1) о включении в региональную программу многоквартирных домов в случаях, если многоквартирные дома ранее не включены в региональную программу в результате технических ошибок (подпункт 1 пункта 1.3.1 Порядка):</w:t>
      </w:r>
    </w:p>
    <w:p>
      <w:pPr>
        <w:pStyle w:val="Normal"/>
        <w:spacing w:lineRule="auto" w:line="240" w:before="0" w:after="200"/>
        <w:contextualSpacing/>
        <w:jc w:val="both"/>
        <w:rPr>
          <w:rFonts w:ascii="Times New Roman" w:hAnsi="Times New Roman" w:cs="Times New Roman"/>
          <w:sz w:val="28"/>
          <w:szCs w:val="28"/>
        </w:rPr>
      </w:pPr>
      <w:r>
        <w:rPr>
          <w:rFonts w:eastAsia="Times New Roman" w:cs="Times New Roman" w:ascii="Times New Roman" w:hAnsi="Times New Roman"/>
          <w:b/>
          <w:sz w:val="28"/>
          <w:szCs w:val="28"/>
        </w:rPr>
        <w:t>Тосненский муниципальный район, пос. Лисино-Корпус, ул. Турского, д. 8;</w:t>
      </w:r>
    </w:p>
    <w:p>
      <w:pPr>
        <w:pStyle w:val="Normal"/>
        <w:spacing w:lineRule="auto" w:line="240" w:before="0" w:after="0"/>
        <w:jc w:val="both"/>
        <w:rPr>
          <w:rFonts w:ascii="Times New Roman" w:hAnsi="Times New Roman" w:eastAsia="Calibri" w:cs="Times New Roman"/>
          <w:bCs/>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Установили необходимость проведение капитального ремонта в многоквартирном доме на периоды 2035-2037, 2038-2040, 2041-2043 годов региональной программы капитального ремонта.</w:t>
      </w:r>
    </w:p>
    <w:p>
      <w:pPr>
        <w:pStyle w:val="Normal"/>
        <w:spacing w:lineRule="auto" w:line="240" w:before="0" w:after="0"/>
        <w:ind w:firstLine="851"/>
        <w:jc w:val="both"/>
        <w:rPr>
          <w:rFonts w:ascii="Times New Roman" w:hAnsi="Times New Roman" w:eastAsia="Calibri" w:cs="Times New Roman"/>
          <w:color w:val="000000"/>
          <w:sz w:val="28"/>
          <w:szCs w:val="28"/>
          <w:u w:val="single"/>
        </w:rPr>
      </w:pPr>
      <w:r>
        <w:rPr>
          <w:rFonts w:eastAsia="Calibri" w:cs="Times New Roman" w:ascii="Times New Roman" w:hAnsi="Times New Roman"/>
          <w:sz w:val="28"/>
          <w:szCs w:val="28"/>
        </w:rPr>
        <w:t xml:space="preserve"> </w:t>
      </w:r>
      <w:r>
        <w:rPr>
          <w:rFonts w:eastAsia="Calibri" w:cs="Times New Roman" w:ascii="Times New Roman" w:hAnsi="Times New Roman"/>
          <w:color w:val="000000"/>
          <w:sz w:val="28"/>
          <w:szCs w:val="28"/>
          <w:u w:val="single"/>
        </w:rPr>
        <w:t>Приложение № 12</w:t>
      </w:r>
    </w:p>
    <w:p>
      <w:pPr>
        <w:pStyle w:val="Normal"/>
        <w:spacing w:lineRule="auto" w:line="240" w:before="0" w:after="0"/>
        <w:ind w:firstLine="851"/>
        <w:jc w:val="both"/>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13) Рассмотрение заявлений, представленных администрацией Всеволожского муниципального района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13.1) о включении в региональную программу многоквартирных домов в случаях, если многоквартирные дома введены в эксплуатацию после завершения строительства или </w:t>
      </w:r>
      <w:r>
        <w:rPr>
          <w:rFonts w:eastAsia="Times New Roman" w:cs="Times New Roman" w:ascii="Times New Roman" w:hAnsi="Times New Roman"/>
          <w:sz w:val="28"/>
          <w:szCs w:val="28"/>
        </w:rPr>
        <w:t>реконструкции</w:t>
      </w:r>
      <w:r>
        <w:rPr>
          <w:rFonts w:eastAsia="Calibri" w:cs="Times New Roman" w:ascii="Times New Roman" w:hAnsi="Times New Roman"/>
          <w:sz w:val="28"/>
          <w:szCs w:val="28"/>
        </w:rPr>
        <w:t xml:space="preserve"> (подпункт 1 пункта 1.3.1 Порядка):</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Выборгский муниципальный район, пос. Новинка, д. 5;</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Выборгский муниципальный район, пос. Новинка, д. 4</w:t>
      </w:r>
      <w:r>
        <w:rPr>
          <w:rFonts w:cs="Times New Roman" w:ascii="Times New Roman" w:hAnsi="Times New Roman"/>
          <w:sz w:val="28"/>
          <w:szCs w:val="28"/>
        </w:rPr>
        <w:t>;</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Выборгский муниципальный район, пос. Новинка, д. 7.</w:t>
      </w:r>
    </w:p>
    <w:p>
      <w:pPr>
        <w:pStyle w:val="Normal"/>
        <w:spacing w:lineRule="auto" w:line="240" w:before="0" w:after="0"/>
        <w:jc w:val="both"/>
        <w:rPr>
          <w:rFonts w:ascii="Times New Roman" w:hAnsi="Times New Roman" w:eastAsia="Calibri" w:cs="Times New Roman"/>
          <w:bCs/>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Вернуть документы заявителю в связи с представлением документов не в полном объеме в соответствии с пп. 6 п. 3.17. Порядка и в связи с оформлением документов не в соответствии с требованиями п. 3.3 Порядка.</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13</w:t>
      </w:r>
    </w:p>
    <w:p>
      <w:pPr>
        <w:pStyle w:val="Normal"/>
        <w:spacing w:lineRule="auto" w:line="240" w:before="0" w:after="0"/>
        <w:ind w:firstLine="851"/>
        <w:jc w:val="both"/>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14) Рассмотрение заявления, представленного АО «Жилищно-коммунальное хозяйство пос. им. Морозова» Всеволожского муниципального района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14.1) о включении в региональную программу многоквартирных домов в случаях, если многоквартирные дома введены в эксплуатацию после завершения строительства или </w:t>
      </w:r>
      <w:r>
        <w:rPr>
          <w:rFonts w:eastAsia="Times New Roman" w:cs="Times New Roman" w:ascii="Times New Roman" w:hAnsi="Times New Roman"/>
          <w:sz w:val="28"/>
          <w:szCs w:val="28"/>
        </w:rPr>
        <w:t>реконструкции</w:t>
      </w:r>
      <w:r>
        <w:rPr>
          <w:rFonts w:eastAsia="Calibri" w:cs="Times New Roman" w:ascii="Times New Roman" w:hAnsi="Times New Roman"/>
          <w:sz w:val="28"/>
          <w:szCs w:val="28"/>
        </w:rPr>
        <w:t xml:space="preserve"> (подпункт 1 пункта 1.3.1 Порядка):</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Всеволожский муниципальный район, г.п. им. Морозова, ул. Первомайская,</w:t>
        <w:br/>
        <w:t>д. 16.</w:t>
      </w:r>
    </w:p>
    <w:p>
      <w:pPr>
        <w:pStyle w:val="Normal"/>
        <w:spacing w:lineRule="auto" w:line="240" w:before="0" w:after="0"/>
        <w:jc w:val="both"/>
        <w:rPr>
          <w:rFonts w:ascii="Times New Roman" w:hAnsi="Times New Roman" w:eastAsia="Calibri" w:cs="Times New Roman"/>
          <w:bCs/>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Установили необходимость проведение капитального ремонта в многоквартирном доме на периоды 2041-2043, 2044-2046, 2047-2049 годов региональной программы капитального ремонта (ГС – 2042 год).</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14</w:t>
      </w:r>
    </w:p>
    <w:p>
      <w:pPr>
        <w:pStyle w:val="Normal"/>
        <w:spacing w:lineRule="auto" w:line="240" w:before="0" w:after="0"/>
        <w:jc w:val="both"/>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15) Рассмотрение заявления, представленного УК ООО «СтройАльянс» Всеволожского муниципального района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15.1) о включении в региональную программу многоквартирных домов в случаях, если многоквартирные дома введены в эксплуатацию после завершения строительства или </w:t>
      </w:r>
      <w:r>
        <w:rPr>
          <w:rFonts w:eastAsia="Times New Roman" w:cs="Times New Roman" w:ascii="Times New Roman" w:hAnsi="Times New Roman"/>
          <w:sz w:val="28"/>
          <w:szCs w:val="28"/>
        </w:rPr>
        <w:t>реконструкции</w:t>
      </w:r>
      <w:r>
        <w:rPr>
          <w:rFonts w:eastAsia="Calibri" w:cs="Times New Roman" w:ascii="Times New Roman" w:hAnsi="Times New Roman"/>
          <w:sz w:val="28"/>
          <w:szCs w:val="28"/>
        </w:rPr>
        <w:t xml:space="preserve"> (подпункт 1 пункта 1.3.1 Порядка):</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Всеволожский муниципальный район, д. Васкелово, д. 3.</w:t>
      </w:r>
    </w:p>
    <w:p>
      <w:pPr>
        <w:pStyle w:val="Normal"/>
        <w:spacing w:lineRule="auto" w:line="240" w:before="0" w:after="0"/>
        <w:jc w:val="both"/>
        <w:rPr>
          <w:rFonts w:ascii="Times New Roman" w:hAnsi="Times New Roman" w:eastAsia="Calibri" w:cs="Times New Roman"/>
          <w:bCs/>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Установили необходимость проведение капитального ремонта в многоквартирном доме на периоды 2041-2043, 2044-2046, 2047-2049 годов региональной программы капитального ремонта.</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15</w:t>
      </w:r>
    </w:p>
    <w:p>
      <w:pPr>
        <w:pStyle w:val="Normal"/>
        <w:spacing w:lineRule="auto" w:line="240" w:before="0" w:after="0"/>
        <w:jc w:val="both"/>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16) Рассмотрение заявлений, представленных администрацией муниципального образования «Токсовское городское поселение» Всеволожского муниципального района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16.1) о включении в региональную программу многоквартирных домов в случаях, если многоквартирные дома введены в эксплуатацию после завершения строительства или </w:t>
      </w:r>
      <w:r>
        <w:rPr>
          <w:rFonts w:eastAsia="Times New Roman" w:cs="Times New Roman" w:ascii="Times New Roman" w:hAnsi="Times New Roman"/>
          <w:sz w:val="28"/>
          <w:szCs w:val="28"/>
        </w:rPr>
        <w:t>реконструкции</w:t>
      </w:r>
      <w:r>
        <w:rPr>
          <w:rFonts w:eastAsia="Calibri" w:cs="Times New Roman" w:ascii="Times New Roman" w:hAnsi="Times New Roman"/>
          <w:sz w:val="28"/>
          <w:szCs w:val="28"/>
        </w:rPr>
        <w:t xml:space="preserve"> (подпункт 1 пункта 1.3.1 Порядка):</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г. п. Токсово, ул. Дорожников, д. 28Г, корп. 1; </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г. п. Токсово, ул. Дорожников, д. 28Г, корп. 2; </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г. п. Токсово, ул. Дорожников, д. 28Г, корп. 3; </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г. п. Токсово, ул. Дорожников, д. 28Г, корп. 4; </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г. п. Токсово, ул. Дорожников, д. 28Г, корп. 5; </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 xml:space="preserve">Всеволожский муниципальный район, г. п. Токсово, ул. Дорожников, д. 28Г, корп. 6. </w:t>
      </w:r>
    </w:p>
    <w:p>
      <w:pPr>
        <w:pStyle w:val="Normal"/>
        <w:spacing w:lineRule="auto" w:line="240" w:before="0" w:after="0"/>
        <w:jc w:val="both"/>
        <w:rPr>
          <w:rFonts w:ascii="Times New Roman" w:hAnsi="Times New Roman" w:eastAsia="Calibri" w:cs="Times New Roman"/>
          <w:bCs/>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Установили необходимость проведение капитального ремонта в многоквартирных домах начиная с периода 2050-2052 годов региональной программы капитального ремонта.</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16</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17) Рассмотрение заявления, представленного администрацией муниципального образования Никольское городское поселение Тосненского муниципального района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17.1) о включении в региональную программу многоквартирных домов в случаях, если многоквартирные дома введены в эксплуатацию после завершения строительства или </w:t>
      </w:r>
      <w:r>
        <w:rPr>
          <w:rFonts w:eastAsia="Times New Roman" w:cs="Times New Roman" w:ascii="Times New Roman" w:hAnsi="Times New Roman"/>
          <w:sz w:val="28"/>
          <w:szCs w:val="28"/>
        </w:rPr>
        <w:t>реконструкции</w:t>
      </w:r>
      <w:r>
        <w:rPr>
          <w:rFonts w:eastAsia="Calibri" w:cs="Times New Roman" w:ascii="Times New Roman" w:hAnsi="Times New Roman"/>
          <w:sz w:val="28"/>
          <w:szCs w:val="28"/>
        </w:rPr>
        <w:t xml:space="preserve"> (подпункт 1 пункта 1.3.1 Порядка):</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Тосненский муниципальный район, г. Никольское, ул. Октябрьская, д. 15.</w:t>
      </w:r>
    </w:p>
    <w:p>
      <w:pPr>
        <w:pStyle w:val="Normal"/>
        <w:spacing w:lineRule="auto" w:line="240" w:before="0" w:after="0"/>
        <w:jc w:val="both"/>
        <w:rPr>
          <w:rFonts w:ascii="Times New Roman" w:hAnsi="Times New Roman" w:eastAsia="Calibri" w:cs="Times New Roman"/>
          <w:bCs/>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Установили необходимость проведение капитального ремонта в многоквартирном доме на периоды 2041-2043, 2044-2046, 2047-2049 годов региональной программы капитального ремонта (Лифты – 2041 год, ГС – 2046 год).</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17</w:t>
      </w:r>
    </w:p>
    <w:p>
      <w:pPr>
        <w:pStyle w:val="Normal"/>
        <w:spacing w:lineRule="auto" w:line="240" w:before="0" w:after="0"/>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18) Рассмотрение заявлений, представленных администрацией муниципального образования «Виллозское городское поселение» Ломоносовского муниципального района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18.1) о включении в региональную программу многоквартирных домов в случаях, если многоквартирные дома введены в эксплуатацию после завершения строительства или </w:t>
      </w:r>
      <w:r>
        <w:rPr>
          <w:rFonts w:eastAsia="Times New Roman" w:cs="Times New Roman" w:ascii="Times New Roman" w:hAnsi="Times New Roman"/>
          <w:sz w:val="28"/>
          <w:szCs w:val="28"/>
        </w:rPr>
        <w:t>реконструкции</w:t>
      </w:r>
      <w:r>
        <w:rPr>
          <w:rFonts w:eastAsia="Calibri" w:cs="Times New Roman" w:ascii="Times New Roman" w:hAnsi="Times New Roman"/>
          <w:sz w:val="28"/>
          <w:szCs w:val="28"/>
        </w:rPr>
        <w:t xml:space="preserve"> (подпункт 1 пункта 1.3.1 Порядка):</w:t>
      </w:r>
    </w:p>
    <w:p>
      <w:pPr>
        <w:pStyle w:val="Normal"/>
        <w:spacing w:lineRule="auto" w:line="240" w:before="0" w:after="0"/>
        <w:jc w:val="both"/>
        <w:rPr>
          <w:rFonts w:ascii="Times New Roman" w:hAnsi="Times New Roman" w:eastAsia="Times New Roman" w:cs="Times New Roman"/>
          <w:b/>
          <w:sz w:val="28"/>
          <w:szCs w:val="28"/>
        </w:rPr>
      </w:pPr>
      <w:r>
        <w:rPr>
          <w:rFonts w:eastAsia="Times New Roman" w:cs="Times New Roman" w:ascii="Times New Roman" w:hAnsi="Times New Roman"/>
          <w:b/>
          <w:sz w:val="28"/>
          <w:szCs w:val="28"/>
        </w:rPr>
        <w:t xml:space="preserve">Ломоносовский муниципальный район, п. Новогорелово, ул. Современников, </w:t>
        <w:br/>
        <w:t>д. 11/6;</w:t>
      </w:r>
    </w:p>
    <w:p>
      <w:pPr>
        <w:pStyle w:val="Normal"/>
        <w:spacing w:lineRule="auto" w:line="240" w:before="0" w:after="0"/>
        <w:jc w:val="both"/>
        <w:rPr>
          <w:rFonts w:ascii="Times New Roman" w:hAnsi="Times New Roman" w:eastAsia="Calibri" w:cs="Times New Roman"/>
          <w:sz w:val="28"/>
          <w:szCs w:val="28"/>
        </w:rPr>
      </w:pPr>
      <w:r>
        <w:rPr>
          <w:rFonts w:eastAsia="Times New Roman" w:cs="Times New Roman" w:ascii="Times New Roman" w:hAnsi="Times New Roman"/>
          <w:b/>
          <w:sz w:val="28"/>
          <w:szCs w:val="28"/>
        </w:rPr>
        <w:t xml:space="preserve">Ломоносовский муниципальный район, п. Новогорелово, ул. Современников, </w:t>
        <w:br/>
        <w:t>д. 11/6, корп. 2;</w:t>
      </w:r>
    </w:p>
    <w:p>
      <w:pPr>
        <w:pStyle w:val="Normal"/>
        <w:spacing w:lineRule="auto" w:line="240" w:before="0" w:after="0"/>
        <w:jc w:val="both"/>
        <w:rPr>
          <w:rFonts w:ascii="Times New Roman" w:hAnsi="Times New Roman" w:eastAsia="Calibri" w:cs="Times New Roman"/>
          <w:sz w:val="28"/>
          <w:szCs w:val="28"/>
        </w:rPr>
      </w:pPr>
      <w:r>
        <w:rPr>
          <w:rFonts w:eastAsia="Times New Roman" w:cs="Times New Roman" w:ascii="Times New Roman" w:hAnsi="Times New Roman"/>
          <w:b/>
          <w:sz w:val="28"/>
          <w:szCs w:val="28"/>
        </w:rPr>
        <w:t xml:space="preserve">Ломоносовский муниципальный район, п. Новогорелово, ул. Современников, </w:t>
        <w:br/>
        <w:t>д. 11/6, корп. 3.</w:t>
      </w:r>
    </w:p>
    <w:p>
      <w:pPr>
        <w:pStyle w:val="Normal"/>
        <w:spacing w:lineRule="auto" w:line="240" w:before="0" w:after="0"/>
        <w:jc w:val="both"/>
        <w:rPr>
          <w:rFonts w:ascii="Times New Roman" w:hAnsi="Times New Roman" w:eastAsia="Calibri" w:cs="Times New Roman"/>
          <w:bCs/>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Установили необходимость проведение капитального ремонта в многоквартирных домах начиная с периода 2050-2052 годов региональной программы капитального ремонта (Лифты – 2043 год).</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18</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lineRule="auto" w:line="240" w:before="0" w:after="0"/>
        <w:jc w:val="both"/>
        <w:rPr>
          <w:rFonts w:ascii="Times New Roman" w:hAnsi="Times New Roman" w:eastAsia="Calibri" w:cs="Times New Roman"/>
          <w:b/>
          <w:sz w:val="28"/>
          <w:szCs w:val="28"/>
          <w:u w:val="single"/>
        </w:rPr>
      </w:pPr>
      <w:r>
        <w:rPr>
          <w:rFonts w:eastAsia="Calibri" w:cs="Times New Roman" w:ascii="Times New Roman" w:hAnsi="Times New Roman"/>
          <w:b/>
          <w:sz w:val="28"/>
          <w:szCs w:val="28"/>
          <w:u w:val="single"/>
        </w:rPr>
        <w:t>19) Рассмотрение заявлений, представленных администрацией муниципального образования «Заневское городское поселение» Всеволожского муниципального района Ленинградской области:</w:t>
      </w:r>
    </w:p>
    <w:p>
      <w:pPr>
        <w:pStyle w:val="Normal"/>
        <w:spacing w:lineRule="auto" w:line="240"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19.1) о включении в региональную программу многоквартирных домов в случаях, если многоквартирные дома введены в эксплуатацию после завершения строительства или </w:t>
      </w:r>
      <w:r>
        <w:rPr>
          <w:rFonts w:eastAsia="Times New Roman" w:cs="Times New Roman" w:ascii="Times New Roman" w:hAnsi="Times New Roman"/>
          <w:sz w:val="28"/>
          <w:szCs w:val="28"/>
        </w:rPr>
        <w:t>реконструкции</w:t>
      </w:r>
      <w:r>
        <w:rPr>
          <w:rFonts w:eastAsia="Calibri" w:cs="Times New Roman" w:ascii="Times New Roman" w:hAnsi="Times New Roman"/>
          <w:sz w:val="28"/>
          <w:szCs w:val="28"/>
        </w:rPr>
        <w:t xml:space="preserve"> (подпункт 1 пункта 1.3.1 Порядка):</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Всеволожский муниципальный район, г. Кудрово, ул. Солнечная, д. 2;</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Всеволожский муниципальный район, г. п. Янино-1, ул. 7-я, д. 1;</w:t>
      </w:r>
    </w:p>
    <w:p>
      <w:pPr>
        <w:pStyle w:val="Normal"/>
        <w:spacing w:before="0" w:after="200"/>
        <w:contextualSpacing/>
        <w:rPr>
          <w:rFonts w:ascii="Times New Roman" w:hAnsi="Times New Roman" w:eastAsia="Times New Roman" w:cs="Times New Roman"/>
          <w:b/>
          <w:sz w:val="28"/>
          <w:szCs w:val="28"/>
        </w:rPr>
      </w:pPr>
      <w:r>
        <w:rPr>
          <w:rFonts w:eastAsia="Times New Roman" w:cs="Times New Roman" w:ascii="Times New Roman" w:hAnsi="Times New Roman"/>
          <w:b/>
          <w:sz w:val="28"/>
          <w:szCs w:val="28"/>
        </w:rPr>
        <w:t>Всеволожский муниципальный район, г. п. Янино-2, ул. Рябиновая, д. 8, к. 1;</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Всеволожский муниципальный район, г. п. Янино-2, ул. Рябиновая, д. 8, к. 2;</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Всеволожский муниципальный район, г. п. Янино-2, ул. Рябиновая, д. 8, к. 3;</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Всеволожский муниципальный район, г. п. Янино-2, ул. Рябиновая, д. 8, к. 4;</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Всеволожский муниципальный район, г. п. Янино-2, ул. Рябиновая, д. 8, к. 5;</w:t>
      </w:r>
    </w:p>
    <w:p>
      <w:pPr>
        <w:pStyle w:val="Normal"/>
        <w:spacing w:before="0" w:after="200"/>
        <w:contextualSpacing/>
        <w:rPr>
          <w:rFonts w:ascii="Times New Roman" w:hAnsi="Times New Roman" w:cs="Times New Roman"/>
          <w:sz w:val="28"/>
          <w:szCs w:val="28"/>
        </w:rPr>
      </w:pPr>
      <w:r>
        <w:rPr>
          <w:rFonts w:eastAsia="Times New Roman" w:cs="Times New Roman" w:ascii="Times New Roman" w:hAnsi="Times New Roman"/>
          <w:b/>
          <w:sz w:val="28"/>
          <w:szCs w:val="28"/>
        </w:rPr>
        <w:t>Всеволожский муниципальный район, г. п. Янино-2, ул. Рябиновая, д. 30.</w:t>
      </w:r>
    </w:p>
    <w:p>
      <w:pPr>
        <w:pStyle w:val="Normal"/>
        <w:spacing w:lineRule="auto" w:line="240" w:before="0" w:after="0"/>
        <w:jc w:val="both"/>
        <w:rPr>
          <w:rFonts w:ascii="Times New Roman" w:hAnsi="Times New Roman" w:eastAsia="Calibri" w:cs="Times New Roman"/>
          <w:bCs/>
          <w:sz w:val="28"/>
          <w:szCs w:val="28"/>
        </w:rPr>
      </w:pPr>
      <w:r>
        <w:rPr>
          <w:rFonts w:eastAsia="Calibri" w:cs="Times New Roman" w:ascii="Times New Roman" w:hAnsi="Times New Roman"/>
          <w:b/>
          <w:sz w:val="28"/>
          <w:szCs w:val="28"/>
        </w:rPr>
        <w:t>Решили:</w:t>
      </w:r>
      <w:r>
        <w:rPr>
          <w:rFonts w:eastAsia="Calibri" w:cs="Times New Roman" w:ascii="Times New Roman" w:hAnsi="Times New Roman"/>
          <w:bCs/>
          <w:sz w:val="28"/>
          <w:szCs w:val="28"/>
        </w:rPr>
        <w:t xml:space="preserve"> Установили необходимость проведение капитального ремонта в многоквартирных домах начиная с периода 2050-2052 годов региональной программы капитального ремонта (Лифты – 2049 год).</w:t>
      </w:r>
    </w:p>
    <w:p>
      <w:pPr>
        <w:pStyle w:val="Normal"/>
        <w:spacing w:lineRule="auto" w:line="240" w:before="0" w:after="0"/>
        <w:ind w:firstLine="851"/>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t>Приложение № 19</w:t>
      </w:r>
    </w:p>
    <w:p>
      <w:pPr>
        <w:sectPr>
          <w:type w:val="nextPage"/>
          <w:pgSz w:w="11906" w:h="16838"/>
          <w:pgMar w:left="1134" w:right="567" w:gutter="0" w:header="0" w:top="1134" w:footer="0" w:bottom="993"/>
          <w:pgNumType w:fmt="decimal"/>
          <w:formProt w:val="false"/>
          <w:textDirection w:val="lrTb"/>
          <w:docGrid w:type="default" w:linePitch="360" w:charSpace="4096"/>
        </w:sectPr>
        <w:pStyle w:val="Normal"/>
        <w:spacing w:lineRule="auto" w:line="240" w:before="0" w:after="0"/>
        <w:rPr>
          <w:rFonts w:ascii="Times New Roman" w:hAnsi="Times New Roman" w:eastAsia="Calibri" w:cs="Times New Roman"/>
          <w:color w:val="000000"/>
          <w:sz w:val="28"/>
          <w:szCs w:val="28"/>
          <w:u w:val="single"/>
        </w:rPr>
      </w:pPr>
      <w:r>
        <w:rPr>
          <w:rFonts w:eastAsia="Calibri" w:cs="Times New Roman" w:ascii="Times New Roman" w:hAnsi="Times New Roman"/>
          <w:color w:val="000000"/>
          <w:sz w:val="28"/>
          <w:szCs w:val="28"/>
          <w:u w:val="single"/>
        </w:rPr>
      </w:r>
    </w:p>
    <w:p>
      <w:pPr>
        <w:pStyle w:val="Normal"/>
        <w:spacing w:before="0" w:after="0"/>
        <w:jc w:val="right"/>
        <w:rPr>
          <w:rFonts w:ascii="Times New Roman" w:hAnsi="Times New Roman" w:eastAsia="Times New Roman" w:cs="Times New Roman"/>
          <w:b/>
          <w:sz w:val="24"/>
          <w:szCs w:val="24"/>
        </w:rPr>
      </w:pPr>
      <w:r>
        <w:rPr>
          <w:rFonts w:eastAsia="Times New Roman" w:cs="Times New Roman" w:ascii="Times New Roman" w:hAnsi="Times New Roman"/>
          <w:b/>
        </w:rPr>
        <w:t>Приложение № 1</w:t>
      </w:r>
    </w:p>
    <w:p>
      <w:pPr>
        <w:pStyle w:val="Normal"/>
        <w:jc w:val="center"/>
        <w:rPr>
          <w:rFonts w:ascii="Times New Roman" w:hAnsi="Times New Roman" w:eastAsia="Times New Roman" w:cs="Times New Roman"/>
          <w:b/>
          <w:sz w:val="24"/>
          <w:szCs w:val="24"/>
        </w:rPr>
      </w:pPr>
      <w:r>
        <w:rPr>
          <w:rFonts w:eastAsia="Times New Roman" w:cs="Times New Roman" w:ascii="Times New Roman" w:hAnsi="Times New Roman"/>
          <w:b/>
          <w:sz w:val="24"/>
          <w:szCs w:val="24"/>
        </w:rPr>
        <w:t>НО «Фонд капитального ремонта Ленинградской области»</w:t>
      </w:r>
    </w:p>
    <w:p>
      <w:pPr>
        <w:pStyle w:val="Normal"/>
        <w:spacing w:before="0" w:after="0"/>
        <w:ind w:firstLine="567"/>
        <w:jc w:val="both"/>
        <w:rPr>
          <w:rFonts w:ascii="Times New Roman" w:hAnsi="Times New Roman" w:cs="Times New Roman"/>
          <w:b/>
          <w:bCs/>
          <w:i/>
          <w:i/>
          <w:iCs/>
          <w:sz w:val="24"/>
          <w:szCs w:val="24"/>
          <w:u w:val="single"/>
        </w:rPr>
      </w:pPr>
      <w:r>
        <w:rPr>
          <w:rFonts w:cs="Times New Roman" w:ascii="Times New Roman" w:hAnsi="Times New Roman"/>
          <w:b/>
          <w:bCs/>
          <w:i/>
          <w:iCs/>
          <w:sz w:val="24"/>
          <w:szCs w:val="24"/>
          <w:u w:val="single"/>
        </w:rPr>
        <w:t>1.3.8. Отсутствие технической возможности выполнения работ по капитальному ремонту общего имущества в многоквартирном доме в случае, если в ходе обследования многоквартирного дома региональным оператором будет выявлено наличие хотя бы одного из критериев:</w:t>
      </w:r>
    </w:p>
    <w:p>
      <w:pPr>
        <w:pStyle w:val="Normal"/>
        <w:spacing w:before="0" w:after="0"/>
        <w:jc w:val="both"/>
        <w:rPr>
          <w:rFonts w:ascii="Times New Roman" w:hAnsi="Times New Roman" w:cs="Times New Roman"/>
          <w:i/>
          <w:i/>
          <w:iCs/>
          <w:sz w:val="24"/>
          <w:szCs w:val="24"/>
          <w:u w:val="single"/>
        </w:rPr>
      </w:pPr>
      <w:r>
        <w:rPr>
          <w:rFonts w:cs="Times New Roman" w:ascii="Times New Roman" w:hAnsi="Times New Roman"/>
          <w:i/>
          <w:iCs/>
          <w:sz w:val="24"/>
          <w:szCs w:val="24"/>
          <w:u w:val="single"/>
        </w:rPr>
        <w:t>1) невозможность выполнения работ по капитальному ремонту конструктивного элемента в многоквартирном доме в связи с необходимостью выполнения реконструкции и(или)капитального ремонта данного или много конструктивного элемента;</w:t>
      </w:r>
    </w:p>
    <w:p>
      <w:pPr>
        <w:pStyle w:val="Normal"/>
        <w:spacing w:before="0" w:after="0"/>
        <w:jc w:val="both"/>
        <w:rPr>
          <w:rFonts w:ascii="Times New Roman" w:hAnsi="Times New Roman" w:cs="Times New Roman"/>
          <w:i/>
          <w:i/>
          <w:iCs/>
          <w:sz w:val="24"/>
          <w:szCs w:val="24"/>
          <w:u w:val="single"/>
        </w:rPr>
      </w:pPr>
      <w:r>
        <w:rPr>
          <w:rFonts w:cs="Times New Roman" w:ascii="Times New Roman" w:hAnsi="Times New Roman"/>
          <w:i/>
          <w:iCs/>
          <w:sz w:val="24"/>
          <w:szCs w:val="24"/>
          <w:u w:val="single"/>
        </w:rPr>
      </w:r>
    </w:p>
    <w:tbl>
      <w:tblPr>
        <w:tblW w:w="15593" w:type="dxa"/>
        <w:jc w:val="left"/>
        <w:tblInd w:w="-572" w:type="dxa"/>
        <w:tblLayout w:type="fixed"/>
        <w:tblCellMar>
          <w:top w:w="0" w:type="dxa"/>
          <w:left w:w="108" w:type="dxa"/>
          <w:bottom w:w="0" w:type="dxa"/>
          <w:right w:w="108" w:type="dxa"/>
        </w:tblCellMar>
        <w:tblLook w:val="04a0" w:noHBand="0" w:noVBand="1" w:firstColumn="1" w:lastRow="0" w:lastColumn="0" w:firstRow="1"/>
      </w:tblPr>
      <w:tblGrid>
        <w:gridCol w:w="525"/>
        <w:gridCol w:w="12375"/>
        <w:gridCol w:w="2693"/>
      </w:tblGrid>
      <w:tr>
        <w:trPr>
          <w:trHeight w:val="1494" w:hRule="atLeast"/>
        </w:trPr>
        <w:tc>
          <w:tcPr>
            <w:tcW w:w="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rPr>
            </w:pPr>
            <w:r>
              <w:rPr>
                <w:rFonts w:cs="Times New Roman" w:ascii="Times New Roman" w:hAnsi="Times New Roman"/>
              </w:rPr>
              <w:t>1.</w:t>
            </w:r>
          </w:p>
        </w:tc>
        <w:tc>
          <w:tcPr>
            <w:tcW w:w="123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
              </w:rPr>
            </w:pPr>
            <w:r>
              <w:rPr>
                <w:rFonts w:cs="Times New Roman" w:ascii="Times New Roman" w:hAnsi="Times New Roman"/>
                <w:b/>
              </w:rPr>
              <w:t>Всеволожский муниципальный район, с. Павлово, ул. Быкова, д. 48 (ОКН(Фед.Значения))</w:t>
            </w:r>
          </w:p>
          <w:p>
            <w:pPr>
              <w:pStyle w:val="Normal"/>
              <w:spacing w:lineRule="auto" w:line="240" w:before="0" w:after="0"/>
              <w:jc w:val="both"/>
              <w:rPr>
                <w:rFonts w:ascii="Times New Roman" w:hAnsi="Times New Roman" w:cs="Times New Roman"/>
              </w:rPr>
            </w:pPr>
            <w:r>
              <w:rPr>
                <w:rFonts w:cs="Times New Roman" w:ascii="Times New Roman" w:hAnsi="Times New Roman"/>
                <w:bCs/>
              </w:rPr>
              <w:t>(</w:t>
            </w:r>
            <w:r>
              <w:rPr>
                <w:rFonts w:cs="Times New Roman" w:ascii="Times New Roman" w:hAnsi="Times New Roman"/>
              </w:rPr>
              <w:t>ПРИ крыша, СМР Крыша, ПИР фасад, СМР фасад, ПИР ЭС, ЭС, ПИР фундамент, СМР фундамент, ПИР ТС, ТС, ПИР ХВС, ХВС, ПИР ВО, ВО</w:t>
            </w:r>
            <w:r>
              <w:rPr>
                <w:rFonts w:cs="Times New Roman" w:ascii="Times New Roman" w:hAnsi="Times New Roman"/>
                <w:bCs/>
              </w:rPr>
              <w:t xml:space="preserve"> с 2026 года на более поздний период РП)</w:t>
            </w:r>
          </w:p>
          <w:p>
            <w:pPr>
              <w:pStyle w:val="Normal"/>
              <w:spacing w:lineRule="auto" w:line="240" w:before="0" w:after="0"/>
              <w:jc w:val="both"/>
              <w:rPr>
                <w:rFonts w:ascii="Times New Roman" w:hAnsi="Times New Roman" w:cs="Times New Roman"/>
              </w:rPr>
            </w:pPr>
            <w:r>
              <w:rPr>
                <w:rFonts w:cs="Times New Roman" w:ascii="Times New Roman" w:hAnsi="Times New Roman"/>
              </w:rPr>
              <w:t>Дом 1935 года постройки, 2 этажа</w:t>
            </w:r>
          </w:p>
          <w:p>
            <w:pPr>
              <w:pStyle w:val="Normal"/>
              <w:spacing w:lineRule="auto" w:line="240" w:before="0" w:after="0"/>
              <w:jc w:val="both"/>
              <w:rPr>
                <w:rFonts w:ascii="Times New Roman" w:hAnsi="Times New Roman" w:cs="Times New Roman"/>
                <w:b/>
                <w:bCs/>
              </w:rPr>
            </w:pPr>
            <w:r>
              <w:rPr>
                <w:rFonts w:cs="Times New Roman" w:ascii="Times New Roman" w:hAnsi="Times New Roman"/>
                <w:b/>
                <w:bCs/>
              </w:rPr>
              <w:t xml:space="preserve">Периоды проведения капитального ремонта: </w:t>
            </w:r>
          </w:p>
          <w:p>
            <w:pPr>
              <w:pStyle w:val="Normal"/>
              <w:spacing w:lineRule="auto" w:line="240" w:before="0" w:after="0"/>
              <w:jc w:val="both"/>
              <w:rPr>
                <w:rFonts w:ascii="Times New Roman" w:hAnsi="Times New Roman" w:cs="Times New Roman"/>
              </w:rPr>
            </w:pPr>
            <w:r>
              <w:rPr>
                <w:rFonts w:cs="Times New Roman" w:ascii="Times New Roman" w:hAnsi="Times New Roman"/>
              </w:rPr>
              <w:t>2026-2028 (2026- ПРИ крыша, СМР Крыша, ПИР фасад, СМР фасад, ПИР ЭС, ЭС, ПИР фундамент, СМР фундамент, ПИР ТС, ТС, ПИР ХВС, ХВС, ПИР ВО, ВО)</w:t>
            </w:r>
          </w:p>
          <w:p>
            <w:pPr>
              <w:pStyle w:val="Normal"/>
              <w:spacing w:lineRule="auto" w:line="240" w:before="0" w:after="0"/>
              <w:rPr>
                <w:rFonts w:ascii="Times New Roman" w:hAnsi="Times New Roman" w:cs="Times New Roman"/>
                <w:b/>
              </w:rPr>
            </w:pPr>
            <w:r>
              <w:rPr>
                <w:rFonts w:cs="Times New Roman" w:ascii="Times New Roman" w:hAnsi="Times New Roman"/>
                <w:b/>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ф/и крыши -72%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ф/и фасада -77%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ф/и фундамента -75%</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ф/и ВДИС ЭС -65%</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ф/и ВДИС ХВС -65%</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ф/и ВДИС ТС -65%</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ф/и ВДИС ВО -65%</w:t>
            </w:r>
          </w:p>
        </w:tc>
      </w:tr>
      <w:tr>
        <w:trPr>
          <w:trHeight w:val="1380" w:hRule="atLeast"/>
        </w:trPr>
        <w:tc>
          <w:tcPr>
            <w:tcW w:w="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rPr>
            </w:pPr>
            <w:r>
              <w:rPr>
                <w:rFonts w:cs="Times New Roman" w:ascii="Times New Roman" w:hAnsi="Times New Roman"/>
              </w:rPr>
              <w:t>2.</w:t>
            </w:r>
          </w:p>
        </w:tc>
        <w:tc>
          <w:tcPr>
            <w:tcW w:w="123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
              </w:rPr>
            </w:pPr>
            <w:r>
              <w:rPr>
                <w:rFonts w:cs="Times New Roman" w:ascii="Times New Roman" w:hAnsi="Times New Roman"/>
                <w:b/>
              </w:rPr>
              <w:t>Выборгский муниципальный район, г. Выборг, ул. Сторожевой Башни, д. 12 (ОКН(Рег.Значения))</w:t>
            </w:r>
          </w:p>
          <w:p>
            <w:pPr>
              <w:pStyle w:val="Normal"/>
              <w:spacing w:lineRule="auto" w:line="240" w:before="0" w:after="0"/>
              <w:jc w:val="both"/>
              <w:rPr>
                <w:rFonts w:ascii="Times New Roman" w:hAnsi="Times New Roman" w:cs="Times New Roman"/>
              </w:rPr>
            </w:pPr>
            <w:r>
              <w:rPr>
                <w:rFonts w:cs="Times New Roman" w:ascii="Times New Roman" w:hAnsi="Times New Roman"/>
                <w:bCs/>
              </w:rPr>
              <w:t>(ПУ и УУ ТС с 2026 года на более поздний)</w:t>
            </w:r>
          </w:p>
          <w:p>
            <w:pPr>
              <w:pStyle w:val="Normal"/>
              <w:spacing w:lineRule="auto" w:line="240" w:before="0" w:after="0"/>
              <w:jc w:val="both"/>
              <w:rPr>
                <w:rFonts w:ascii="Times New Roman" w:hAnsi="Times New Roman" w:cs="Times New Roman"/>
              </w:rPr>
            </w:pPr>
            <w:r>
              <w:rPr>
                <w:rFonts w:cs="Times New Roman" w:ascii="Times New Roman" w:hAnsi="Times New Roman"/>
              </w:rPr>
              <w:t>Дом 1940 года постройки, 2 этажа</w:t>
            </w:r>
          </w:p>
          <w:p>
            <w:pPr>
              <w:pStyle w:val="Normal"/>
              <w:spacing w:lineRule="auto" w:line="240" w:before="0" w:after="0"/>
              <w:jc w:val="both"/>
              <w:rPr>
                <w:rFonts w:ascii="Times New Roman" w:hAnsi="Times New Roman" w:cs="Times New Roman"/>
                <w:b/>
                <w:bCs/>
              </w:rPr>
            </w:pPr>
            <w:r>
              <w:rPr>
                <w:rFonts w:cs="Times New Roman" w:ascii="Times New Roman" w:hAnsi="Times New Roman"/>
                <w:b/>
                <w:bCs/>
              </w:rPr>
              <w:t xml:space="preserve">Периоды проведения капитального ремонта: </w:t>
            </w:r>
          </w:p>
          <w:p>
            <w:pPr>
              <w:pStyle w:val="Normal"/>
              <w:spacing w:lineRule="auto" w:line="240" w:before="0" w:after="0"/>
              <w:jc w:val="both"/>
              <w:rPr>
                <w:rFonts w:ascii="Times New Roman" w:hAnsi="Times New Roman" w:cs="Times New Roman"/>
              </w:rPr>
            </w:pPr>
            <w:r>
              <w:rPr>
                <w:rFonts w:cs="Times New Roman" w:ascii="Times New Roman" w:hAnsi="Times New Roman"/>
              </w:rPr>
              <w:t xml:space="preserve">2020-2022 (2021-ПИР ЭС,ПИР ТС, ПИР ПУ и УУ ТС, ПИР ХВС, ПИР ПУ и УУ, ПИР ВО, ПИР крыши; ПИР утепление и ремонт фасада; ПИР фундамент; ПИР подвал, </w:t>
            </w:r>
          </w:p>
          <w:p>
            <w:pPr>
              <w:pStyle w:val="Normal"/>
              <w:spacing w:lineRule="auto" w:line="240" w:before="0" w:after="0"/>
              <w:jc w:val="both"/>
              <w:rPr>
                <w:rFonts w:ascii="Times New Roman" w:hAnsi="Times New Roman" w:cs="Times New Roman"/>
              </w:rPr>
            </w:pPr>
            <w:r>
              <w:rPr>
                <w:rFonts w:cs="Times New Roman" w:ascii="Times New Roman" w:hAnsi="Times New Roman"/>
              </w:rPr>
              <w:t xml:space="preserve">2023-2025 (2024 – ЭС, ВО, ХВС, ГВС, ПИР ГВС, ТС, СМР крыши, СМР фасада, СМР фундамента, СМР подвала), </w:t>
            </w:r>
          </w:p>
          <w:p>
            <w:pPr>
              <w:pStyle w:val="Normal"/>
              <w:spacing w:lineRule="auto" w:line="240" w:before="0" w:after="0"/>
              <w:jc w:val="both"/>
              <w:rPr>
                <w:rFonts w:ascii="Times New Roman" w:hAnsi="Times New Roman" w:cs="Times New Roman"/>
              </w:rPr>
            </w:pPr>
            <w:r>
              <w:rPr>
                <w:rFonts w:cs="Times New Roman" w:ascii="Times New Roman" w:hAnsi="Times New Roman"/>
              </w:rPr>
              <w:t>2026-2028 (2026 - ПУ и УУ ТС), 2029-2031.</w:t>
            </w:r>
          </w:p>
          <w:p>
            <w:pPr>
              <w:pStyle w:val="Normal"/>
              <w:spacing w:lineRule="auto" w:line="240" w:before="0" w:after="0"/>
              <w:jc w:val="both"/>
              <w:rPr>
                <w:rFonts w:ascii="Times New Roman" w:hAnsi="Times New Roman" w:cs="Times New Roman"/>
                <w:b/>
                <w:highlight w:val="yellow"/>
              </w:rPr>
            </w:pPr>
            <w:r>
              <w:rPr>
                <w:rFonts w:cs="Times New Roman" w:ascii="Times New Roman" w:hAnsi="Times New Roman"/>
                <w:b/>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ИТП и УУТЭ общ.</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на 3 дома</w:t>
            </w:r>
          </w:p>
        </w:tc>
      </w:tr>
      <w:tr>
        <w:trPr>
          <w:trHeight w:val="1380" w:hRule="atLeast"/>
        </w:trPr>
        <w:tc>
          <w:tcPr>
            <w:tcW w:w="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rPr>
            </w:pPr>
            <w:r>
              <w:rPr>
                <w:rFonts w:cs="Times New Roman" w:ascii="Times New Roman" w:hAnsi="Times New Roman"/>
              </w:rPr>
              <w:t>3.</w:t>
            </w:r>
          </w:p>
        </w:tc>
        <w:tc>
          <w:tcPr>
            <w:tcW w:w="123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
              </w:rPr>
            </w:pPr>
            <w:r>
              <w:rPr>
                <w:rFonts w:cs="Times New Roman" w:ascii="Times New Roman" w:hAnsi="Times New Roman"/>
                <w:b/>
              </w:rPr>
              <w:t>Лужский муниципальный район, дер. Турово, д. 1</w:t>
            </w:r>
          </w:p>
          <w:p>
            <w:pPr>
              <w:pStyle w:val="Normal"/>
              <w:spacing w:lineRule="auto" w:line="240" w:before="0" w:after="0"/>
              <w:jc w:val="both"/>
              <w:rPr>
                <w:rFonts w:ascii="Times New Roman" w:hAnsi="Times New Roman" w:cs="Times New Roman"/>
              </w:rPr>
            </w:pPr>
            <w:r>
              <w:rPr>
                <w:rFonts w:cs="Times New Roman" w:ascii="Times New Roman" w:hAnsi="Times New Roman"/>
                <w:bCs/>
              </w:rPr>
              <w:t>(ПИР ВО с 2026 года на более поздний)</w:t>
            </w:r>
          </w:p>
          <w:p>
            <w:pPr>
              <w:pStyle w:val="Normal"/>
              <w:spacing w:lineRule="auto" w:line="240" w:before="0" w:after="0"/>
              <w:jc w:val="both"/>
              <w:rPr>
                <w:rFonts w:ascii="Times New Roman" w:hAnsi="Times New Roman" w:cs="Times New Roman"/>
              </w:rPr>
            </w:pPr>
            <w:r>
              <w:rPr>
                <w:rFonts w:cs="Times New Roman" w:ascii="Times New Roman" w:hAnsi="Times New Roman"/>
              </w:rPr>
              <w:t>Дом 1969 года постройки, 2 этажа</w:t>
            </w:r>
          </w:p>
          <w:p>
            <w:pPr>
              <w:pStyle w:val="Normal"/>
              <w:spacing w:lineRule="auto" w:line="240" w:before="0" w:after="0"/>
              <w:jc w:val="both"/>
              <w:rPr>
                <w:rFonts w:ascii="Times New Roman" w:hAnsi="Times New Roman" w:cs="Times New Roman"/>
                <w:b/>
                <w:bCs/>
              </w:rPr>
            </w:pPr>
            <w:r>
              <w:rPr>
                <w:rFonts w:cs="Times New Roman" w:ascii="Times New Roman" w:hAnsi="Times New Roman"/>
                <w:b/>
                <w:bCs/>
              </w:rPr>
              <w:t xml:space="preserve">Периоды проведения капитального ремонта: </w:t>
            </w:r>
          </w:p>
          <w:p>
            <w:pPr>
              <w:pStyle w:val="Normal"/>
              <w:spacing w:lineRule="auto" w:line="240" w:before="0" w:after="0"/>
              <w:jc w:val="both"/>
              <w:rPr>
                <w:rFonts w:ascii="Times New Roman" w:hAnsi="Times New Roman" w:cs="Times New Roman"/>
              </w:rPr>
            </w:pPr>
            <w:r>
              <w:rPr>
                <w:rFonts w:cs="Times New Roman" w:ascii="Times New Roman" w:hAnsi="Times New Roman"/>
              </w:rPr>
              <w:t>2017-2019 (2017 – ПИР Крыши),</w:t>
            </w:r>
          </w:p>
          <w:p>
            <w:pPr>
              <w:pStyle w:val="Normal"/>
              <w:spacing w:lineRule="auto" w:line="240" w:before="0" w:after="0"/>
              <w:jc w:val="both"/>
              <w:rPr>
                <w:rFonts w:ascii="Times New Roman" w:hAnsi="Times New Roman" w:cs="Times New Roman"/>
              </w:rPr>
            </w:pPr>
            <w:r>
              <w:rPr>
                <w:rFonts w:cs="Times New Roman" w:ascii="Times New Roman" w:hAnsi="Times New Roman"/>
              </w:rPr>
              <w:t xml:space="preserve">2020-2022 (2020 – СМР Крыши), </w:t>
            </w:r>
          </w:p>
          <w:p>
            <w:pPr>
              <w:pStyle w:val="Normal"/>
              <w:spacing w:lineRule="auto" w:line="240" w:before="0" w:after="0"/>
              <w:jc w:val="both"/>
              <w:rPr>
                <w:rFonts w:ascii="Times New Roman" w:hAnsi="Times New Roman" w:cs="Times New Roman"/>
              </w:rPr>
            </w:pPr>
            <w:r>
              <w:rPr>
                <w:rFonts w:cs="Times New Roman" w:ascii="Times New Roman" w:hAnsi="Times New Roman"/>
              </w:rPr>
              <w:t xml:space="preserve">2026-2028 (2026 - ПИР ВО, ПИР Фундамент), </w:t>
            </w:r>
          </w:p>
          <w:p>
            <w:pPr>
              <w:pStyle w:val="Normal"/>
              <w:spacing w:lineRule="auto" w:line="240" w:before="0" w:after="0"/>
              <w:jc w:val="both"/>
              <w:rPr>
                <w:rFonts w:ascii="Times New Roman" w:hAnsi="Times New Roman" w:cs="Times New Roman"/>
              </w:rPr>
            </w:pPr>
            <w:r>
              <w:rPr>
                <w:rFonts w:cs="Times New Roman" w:ascii="Times New Roman" w:hAnsi="Times New Roman"/>
              </w:rPr>
              <w:t>2029-2031, 2032-2034, 2035-2037, 2041-2043</w:t>
            </w:r>
          </w:p>
          <w:p>
            <w:pPr>
              <w:pStyle w:val="Normal"/>
              <w:spacing w:lineRule="auto" w:line="240" w:before="0" w:after="0"/>
              <w:jc w:val="both"/>
              <w:rPr>
                <w:rFonts w:ascii="Times New Roman" w:hAnsi="Times New Roman" w:cs="Times New Roman"/>
                <w:b/>
                <w:highlight w:val="yellow"/>
              </w:rPr>
            </w:pPr>
            <w:r>
              <w:rPr>
                <w:rFonts w:cs="Times New Roman" w:ascii="Times New Roman" w:hAnsi="Times New Roman"/>
                <w:b/>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
              </w:rPr>
            </w:pPr>
            <w:r>
              <w:rPr>
                <w:rFonts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Фактическое наличие документов</w:t>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rPr>
            </w:pPr>
            <w:r>
              <w:rPr>
                <w:rFonts w:cs="Times New Roman" w:ascii="Times New Roman" w:hAnsi="Times New Roman"/>
              </w:rPr>
              <w:t>Заявление (пункт 3.2 Порядка)</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rPr>
            </w:pPr>
            <w:r>
              <w:rPr>
                <w:rFonts w:cs="Times New Roman" w:ascii="Times New Roman" w:hAnsi="Times New Roman"/>
              </w:rPr>
              <w:t>В наличии</w:t>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rPr>
            </w:pPr>
            <w:r>
              <w:rPr>
                <w:rFonts w:cs="Times New Roman" w:ascii="Times New Roman" w:hAnsi="Times New Roman"/>
              </w:rPr>
              <w:t>Сведения по форме согласно приложению 11 к настоящему Порядку;</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rPr>
            </w:pPr>
            <w:r>
              <w:rPr>
                <w:rFonts w:cs="Times New Roman" w:ascii="Times New Roman" w:hAnsi="Times New Roman"/>
              </w:rPr>
              <w:t>В наличии</w:t>
            </w:r>
          </w:p>
        </w:tc>
      </w:tr>
      <w:tr>
        <w:trPr>
          <w:trHeight w:val="619"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rPr>
            </w:pPr>
            <w:r>
              <w:rPr>
                <w:rFonts w:cs="Times New Roman" w:ascii="Times New Roman" w:hAnsi="Times New Roman"/>
              </w:rPr>
              <w:t>Заключение регионального оператора об отсутствии технической возможности выполнения работ по капитальному ремонту общего имущества в многоквартирном доме.</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rPr>
            </w:pPr>
            <w:r>
              <w:rPr>
                <w:rFonts w:cs="Times New Roman" w:ascii="Times New Roman" w:hAnsi="Times New Roman"/>
              </w:rPr>
              <w:t>В наличии</w:t>
            </w:r>
          </w:p>
        </w:tc>
      </w:tr>
    </w:tbl>
    <w:p>
      <w:pPr>
        <w:pStyle w:val="Normal"/>
        <w:spacing w:before="0" w:after="200"/>
        <w:ind w:firstLine="708" w:right="142"/>
        <w:contextualSpacing/>
        <w:jc w:val="both"/>
        <w:rPr>
          <w:rFonts w:ascii="Times New Roman" w:hAnsi="Times New Roman" w:cs="Times New Roman"/>
          <w:b/>
          <w:bCs/>
          <w:i/>
          <w:i/>
          <w:iCs/>
          <w:sz w:val="24"/>
          <w:szCs w:val="24"/>
          <w:u w:val="single"/>
        </w:rPr>
      </w:pPr>
      <w:r>
        <w:rPr>
          <w:rFonts w:cs="Times New Roman" w:ascii="Times New Roman" w:hAnsi="Times New Roman"/>
          <w:b/>
          <w:bCs/>
          <w:i/>
          <w:iCs/>
          <w:sz w:val="24"/>
          <w:szCs w:val="24"/>
          <w:u w:val="single"/>
        </w:rPr>
        <w:t>1.3.3. Перенос установленного срока капитального ремонта (срока оказания отдельных услуг и(или) выполнения работ по капитальному ремонту) на более поздний период (срок) в следующих случаях:</w:t>
      </w:r>
    </w:p>
    <w:p>
      <w:pPr>
        <w:pStyle w:val="Normal"/>
        <w:spacing w:before="0" w:after="200"/>
        <w:ind w:right="142"/>
        <w:contextualSpacing/>
        <w:jc w:val="both"/>
        <w:rPr>
          <w:rFonts w:ascii="Times New Roman" w:hAnsi="Times New Roman" w:cs="Times New Roman"/>
          <w:i/>
          <w:i/>
          <w:iCs/>
          <w:sz w:val="24"/>
          <w:szCs w:val="24"/>
          <w:u w:val="single"/>
        </w:rPr>
      </w:pPr>
      <w:r>
        <w:rPr>
          <w:rFonts w:cs="Times New Roman" w:ascii="Times New Roman" w:hAnsi="Times New Roman"/>
          <w:i/>
          <w:iCs/>
          <w:sz w:val="24"/>
          <w:szCs w:val="24"/>
          <w:u w:val="single"/>
        </w:rPr>
        <w:t xml:space="preserve">4) в соответствии с пунктом 4 части 4 статьи 168 статьи 181 Жилищного кодекса Российской Федерации </w:t>
      </w:r>
      <w:r>
        <w:rPr>
          <w:rFonts w:cs="Times New Roman" w:ascii="Times New Roman" w:hAnsi="Times New Roman"/>
          <w:b/>
          <w:bCs/>
          <w:i/>
          <w:iCs/>
          <w:sz w:val="24"/>
          <w:szCs w:val="24"/>
          <w:u w:val="single"/>
        </w:rPr>
        <w:t>(невозможность выполнения/воспрепятствие);</w:t>
      </w:r>
    </w:p>
    <w:tbl>
      <w:tblPr>
        <w:tblW w:w="15593" w:type="dxa"/>
        <w:jc w:val="left"/>
        <w:tblInd w:w="-572" w:type="dxa"/>
        <w:tblLayout w:type="fixed"/>
        <w:tblCellMar>
          <w:top w:w="0" w:type="dxa"/>
          <w:left w:w="108" w:type="dxa"/>
          <w:bottom w:w="0" w:type="dxa"/>
          <w:right w:w="108" w:type="dxa"/>
        </w:tblCellMar>
        <w:tblLook w:val="04a0" w:noHBand="0" w:noVBand="1" w:firstColumn="1" w:lastRow="0" w:lastColumn="0" w:firstRow="1"/>
      </w:tblPr>
      <w:tblGrid>
        <w:gridCol w:w="491"/>
        <w:gridCol w:w="12410"/>
        <w:gridCol w:w="2692"/>
      </w:tblGrid>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rPr>
              <w:t>1.</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Гатчинский муниципальный округ, г. Гатчина, ул. Чкалова, д. 61А </w:t>
            </w:r>
            <w:r>
              <w:rPr>
                <w:rFonts w:eastAsia="Times New Roman" w:cs="Times New Roman" w:ascii="Times New Roman" w:hAnsi="Times New Roman"/>
              </w:rPr>
              <w:t>– перенос срока ВДИС ЭС, ВДИС ТС, ВДИС ХВС, ВДИС ВО, СМР подвал, СМР Фундамент, ПИР ЭС, ПИР ТС, ПИР ХВС, ПИР ВО, ПИР фундамент, ПИР подвал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1983 года постройки, 2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2017-2019 (2017 – ПИР фасад, ПИР крыши, 2019 – СМР Крыши),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2020-2023 (2022 – СМР Фасад),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2026-2028 (2026- ПИР ЭС, ВДИС ЭС, ПИР ТС, ВДИС ТС, ПИР ХВС, ВДИС ХВС, ПИР ВО, ВДИС ВО, ПИР подвал, СМР подвал, ПИР фундамент, СМР фундамент).</w:t>
            </w:r>
          </w:p>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Воспрепятствование собственниками</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2.</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Приозерский муниципальный район, пос. Сосново, ул. Железнодорожная, д. 55 </w:t>
            </w:r>
            <w:r>
              <w:rPr>
                <w:rFonts w:eastAsia="Times New Roman" w:cs="Times New Roman" w:ascii="Times New Roman" w:hAnsi="Times New Roman"/>
              </w:rPr>
              <w:t>– перенос срока ВДИС ХВС, ВДИС ВО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1951 года постройки, 2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2014-2016 (2016 – СМР крыши, ПИР фасад, ПИР),</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2017-2019 (2018 – СМР Фасад, СМР фундамент),</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2020-2023 (2021 – ПИР ХВС, ПИР ВО),</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2026-2028 (2026- ВО, ХВС, 2027 – ПИР ТС)</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Воспрепятствование собственниками</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3.</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Лодейнопольский муниципальный район, г. Лодейное Поле, ул. Гагарина, д. 18 </w:t>
            </w:r>
            <w:r>
              <w:rPr>
                <w:rFonts w:eastAsia="Times New Roman" w:cs="Times New Roman" w:ascii="Times New Roman" w:hAnsi="Times New Roman"/>
              </w:rPr>
              <w:t>– перенос срока ВДИС ТС, ВДИС ХВС, ВДИС ВО. ПУ и УУ ТС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1958 года постройки, 3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2017-2019 (2017 – ПИР ЭС, ПИР ТС, ПИР ВО, ПИР ХВС, ПИР ПУ и УУ),</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2020-2022 (2021 – ВДИС ЭС),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2026-2028 (ТС, ВО, ХВС, ПУ и УУ),2032-2034, 2038-2040.</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Воспрепятствование собственниками</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4.</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Волховский муниципальный район, г. Новая Ладога, просп. К. Маркса, д. 56/2 </w:t>
            </w:r>
            <w:r>
              <w:rPr>
                <w:rFonts w:eastAsia="Times New Roman" w:cs="Times New Roman" w:ascii="Times New Roman" w:hAnsi="Times New Roman"/>
              </w:rPr>
              <w:t>– перенос срока ВДИС ТС и ВДИС ХВС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1950 года постройки, 2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2014-2016 (2015 – СМР Крыши, СМР Фасада, ПИР на ремонт ВДИС (ТС, ХВС, ГВС, ВО, установка ПУ и УУ)),</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2017-2019 (2019 – ПИР ЭС),</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2020-2022 (2021 – ВДИС ЭС),</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2026-2028 (2026-ВДИС ТС, ХВС), 2038-2040, 2041-2043.</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Воспрепятствование собственниками</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5.</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Волосовский муниципальный район, пос. Кикерино, ул. Театральная, д. 4а </w:t>
            </w:r>
            <w:r>
              <w:rPr>
                <w:rFonts w:eastAsia="Times New Roman" w:cs="Times New Roman" w:ascii="Times New Roman" w:hAnsi="Times New Roman"/>
              </w:rPr>
              <w:t>– перенос срока ВДИС ВО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1953 года постройки, 2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2023-2025(2025 - ПИР фундамент, ПИР ВО),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2026-2028(2026 – ВДИС ВО, СМР фундамент), 2029-2031, 2035-2037.</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Воспрепятствование собственниками</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6.</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Волховский муниципальный район, г. Новая Ладога, просп. К. Маркса, д. 58/1 </w:t>
            </w:r>
            <w:r>
              <w:rPr>
                <w:rFonts w:eastAsia="Times New Roman" w:cs="Times New Roman" w:ascii="Times New Roman" w:hAnsi="Times New Roman"/>
              </w:rPr>
              <w:t>– перенос срока ВДИС ТС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1948 года постройки, 2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2017-2019 (2017 – ПИР ЭС, ПИР ТС, ПИР ХВС, 2019 – ПИР Крыши),</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2020-2022 (2021 – ВДИС ЭС, ВДИС ХВС, СМР Крыши),</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2026-2028 (2026-ВДИС ТС), 2038-2040.</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Воспрепятствование собственниками</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7.</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Гатчинский муниципальный округ, г. Гатчина, ул. Академика Константинова, д. 1Б </w:t>
            </w:r>
            <w:r>
              <w:rPr>
                <w:rFonts w:eastAsia="Times New Roman" w:cs="Times New Roman" w:ascii="Times New Roman" w:hAnsi="Times New Roman"/>
              </w:rPr>
              <w:t>– перенос срока СМР Крыши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1975 года постройки, 5 этажей.</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2020-2022 (2021 – ПИР Крыши),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2026-2028 (2026-СМР Крыши), 2032-2034, 2035-2037, 2041-2043.</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Воспрепятствование собственниками</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8.</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Выборгский муниципальный район, г. Каменногорск, ш. Ленинградское, д. 65а </w:t>
            </w:r>
            <w:r>
              <w:rPr>
                <w:rFonts w:eastAsia="Times New Roman" w:cs="Times New Roman" w:ascii="Times New Roman" w:hAnsi="Times New Roman"/>
              </w:rPr>
              <w:t>– перенос срока ВДИС ХВС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1965 года постройки, 2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2014-2016 (2016 – ПИР ЭС),</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2017-2019 (2018 – ВДИС ЭС),</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2020-2022 (2021 – ПИР ХВС, ПУ и УУ),</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2026-2028 (2026-ВДИС</w:t>
            </w:r>
            <w:r>
              <w:rPr>
                <w:rFonts w:eastAsia="Times New Roman" w:cs="Times New Roman" w:ascii="Times New Roman" w:hAnsi="Times New Roman"/>
                <w:color w:val="FF0000"/>
              </w:rPr>
              <w:t xml:space="preserve"> </w:t>
            </w:r>
            <w:r>
              <w:rPr>
                <w:rFonts w:eastAsia="Times New Roman" w:cs="Times New Roman" w:ascii="Times New Roman" w:hAnsi="Times New Roman"/>
                <w:color w:themeColor="text1" w:val="000000"/>
              </w:rPr>
              <w:t>ХВС)</w:t>
            </w:r>
            <w:r>
              <w:rPr>
                <w:rFonts w:eastAsia="Times New Roman" w:cs="Times New Roman" w:ascii="Times New Roman" w:hAnsi="Times New Roman"/>
              </w:rPr>
              <w:t>, 2032-2034, 2035-2037, 2038-2040.</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Недопуск собственниками</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9.</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Тихвинский муниципальный район, пос. Шугозеро, ул. Капшинская, д. 3 </w:t>
            </w:r>
            <w:r>
              <w:rPr>
                <w:rFonts w:eastAsia="Times New Roman" w:cs="Times New Roman" w:ascii="Times New Roman" w:hAnsi="Times New Roman"/>
              </w:rPr>
              <w:t>– перенос срока ВДИС ХВС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1968 года постройки, 2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2017-2019 (2017 – СМР Фасад),</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2020-2022 (2022 - ПИР ХВС, ПИР ГВС, ПИР ВО)</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2026-2028 (2026-ВДИС</w:t>
            </w:r>
            <w:r>
              <w:rPr>
                <w:rFonts w:eastAsia="Times New Roman" w:cs="Times New Roman" w:ascii="Times New Roman" w:hAnsi="Times New Roman"/>
                <w:color w:val="FF0000"/>
              </w:rPr>
              <w:t xml:space="preserve"> </w:t>
            </w:r>
            <w:r>
              <w:rPr>
                <w:rFonts w:eastAsia="Times New Roman" w:cs="Times New Roman" w:ascii="Times New Roman" w:hAnsi="Times New Roman"/>
                <w:color w:themeColor="text1" w:val="000000"/>
              </w:rPr>
              <w:t>ХВС)</w:t>
            </w:r>
            <w:r>
              <w:rPr>
                <w:rFonts w:eastAsia="Times New Roman" w:cs="Times New Roman" w:ascii="Times New Roman" w:hAnsi="Times New Roman"/>
              </w:rPr>
              <w:t>, 2029-2031, 2035-2037, 2038-2040, 2041-2043.</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Недопуск собственниками </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10.</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г.п. им. Морозова, ул. Мира, д. 9 </w:t>
            </w:r>
            <w:r>
              <w:rPr>
                <w:rFonts w:eastAsia="Times New Roman" w:cs="Times New Roman" w:ascii="Times New Roman" w:hAnsi="Times New Roman"/>
              </w:rPr>
              <w:t>– перенос срока ВДИС ВО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1957 года постройки, 3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2014-2016 (2015 – СМР фасад),</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2020-2022 (2021 – ПИР Крыши),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2023-2025 (2023 – ПИР ЭС, ПИР, ХВС, ПИР ГВС, ПИР ТС, ПИР ВО, ПИР Фундамент, СМР Крыши, СМР Фундамент, ВДИС ЭС, ВДИС ХВС, ВДИС ГВС, ВДИС ТС, ПУ и УУ)</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2026-2028 (2026 – ВДИС ВО).</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Воспрепятствование собственниками </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11.</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Выборгский муниципальный район, г. Выборг, ул. Димитрова, д. 9 </w:t>
            </w:r>
            <w:r>
              <w:rPr>
                <w:rFonts w:eastAsia="Times New Roman" w:cs="Times New Roman" w:ascii="Times New Roman" w:hAnsi="Times New Roman"/>
              </w:rPr>
              <w:t>– перенос срока ВДИС ХВС, ВДИС ВО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1940 года постройки, 2-3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2020-2022 (2021 – ПИР ХВС, ПИР ВО), </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2026-2028 (2026 – ВДИС ХВС, ВДИС ВО, 2027 – ПИР Крыши, СМР Крыши), 2029-2031, 2050-2052.</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Воспрепятствование собственниками </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12.</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г.п. им. Морозова, ул. Новая, д. 1 </w:t>
            </w:r>
            <w:r>
              <w:rPr>
                <w:rFonts w:eastAsia="Times New Roman" w:cs="Times New Roman" w:ascii="Times New Roman" w:hAnsi="Times New Roman"/>
              </w:rPr>
              <w:t>– перенос срока ВДИС ХВС, ВДИС ВО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1956 года постройки, 2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2020-2022 (2021 – ПИР ХВС, ПИР ВО),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2026-2028 (2026 – ВДИС ВО, ВДИС ХВС), 2038-2040.</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Воспрепятствование собственниками </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13.</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г.п. им. Морозова, ул. Спорта, д. 4 </w:t>
            </w:r>
            <w:r>
              <w:rPr>
                <w:rFonts w:eastAsia="Times New Roman" w:cs="Times New Roman" w:ascii="Times New Roman" w:hAnsi="Times New Roman"/>
              </w:rPr>
              <w:t>– перенос срока ВДИС ХВС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1960 года постройки, 3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2020-2022 (2021 – ПИР ХВС, ПУ и УУ),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2026-2028 (2026 – ВДИС ХВС), 2035-2037, 2038-2040.</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Воспрепятствование собственниками </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14.</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Кировский муниципальный район, г. Кировск, ул. Горького, д. 17 </w:t>
            </w:r>
            <w:r>
              <w:rPr>
                <w:rFonts w:eastAsia="Times New Roman" w:cs="Times New Roman" w:ascii="Times New Roman" w:hAnsi="Times New Roman"/>
              </w:rPr>
              <w:t>– перенос срока ВДИС ГВС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1955 года постройки, 2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2017-2019 (2018 – ПИР ЭС, ПИР ГВС),</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2020-2022 (2021 – ВДИС ЭС),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2026-2028 (2026 – ВДИС ГВС, 2027 – ПИР Крыши), 2035-2037, 2038-2040.</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Воспрепятствование собственниками </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15.</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Кировский муниципальный район, г. Кировск, ул. Краснофлотская, д. 11 </w:t>
            </w:r>
            <w:r>
              <w:rPr>
                <w:rFonts w:eastAsia="Times New Roman" w:cs="Times New Roman" w:ascii="Times New Roman" w:hAnsi="Times New Roman"/>
              </w:rPr>
              <w:t>– перенос срока ВДИС ГВС, ВДИС ВО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1953 года постройки, 2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2017-2019 (2018 – ПИР ЭС, ПИР ГВС, ПИР ТС, ПИР ВО),</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2020-2022 (2021 – ВДИС ЭС, ВДИС ТС),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2026-2028 (2026 – ВДИС ГВС, ВДИС ВО, 2027 – ПИР Фасад), 2032-2034, 2038-2040.</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Воспрепятствование собственниками </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16.</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Кировский муниципальный район, г. Кировск, ул. Горького, д. 15 </w:t>
            </w:r>
            <w:r>
              <w:rPr>
                <w:rFonts w:eastAsia="Times New Roman" w:cs="Times New Roman" w:ascii="Times New Roman" w:hAnsi="Times New Roman"/>
              </w:rPr>
              <w:t>– перенос срока ВДИС ГВС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1955 года постройки, 2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2017-2019 (2018 – ПИР ЭС, ПИР ГВС),</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2020-2022 (2020 – ВДИС ЭС),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2026-2028 (2026 – ВДИС ГВС), 2035-2037, 2038-2040.</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Воспрепятствование собственниками </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17.</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Сертолово, микрорайон Сертолово-1, ул. Ларина, д. 1 </w:t>
            </w:r>
            <w:r>
              <w:rPr>
                <w:rFonts w:eastAsia="Times New Roman" w:cs="Times New Roman" w:ascii="Times New Roman" w:hAnsi="Times New Roman"/>
              </w:rPr>
              <w:t>– перенос срока ВДИС ХВС, ВДИС ГВС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1936 года постройки, 4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2014-2016 (2014 – ВДИС ВО, СМР Крыши, СМР Фасад, 2016 – СМР Подвал),</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2023-2025 (2024 – ПИР ЭС, ПИР Фундамент, СМР Фундамент),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2026-2028 (2026 – ПИР ХВС, ПИР ГВС, ВДИС ХВС, ПИР ГВС), 2029-2031.</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Воспрепятствование УО </w:t>
            </w:r>
          </w:p>
        </w:tc>
      </w:tr>
      <w:tr>
        <w:trPr>
          <w:trHeight w:val="398" w:hRule="atLeast"/>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18.</w:t>
            </w:r>
          </w:p>
        </w:tc>
        <w:tc>
          <w:tcPr>
            <w:tcW w:w="1241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b/>
              </w:rPr>
              <w:t xml:space="preserve">Кировский муниципальный район, г. Кировск, ул. Комсомольская, д. 5 </w:t>
            </w:r>
            <w:r>
              <w:rPr>
                <w:rFonts w:eastAsia="Times New Roman" w:cs="Times New Roman" w:ascii="Times New Roman" w:hAnsi="Times New Roman"/>
              </w:rPr>
              <w:t>– перенос срока ВДИС ГВС с 2026 года на более поздний период</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Дом 1954 года постройки, 2 этажа.</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Периоды проведения кап. ремонта:</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2017-2019 (2018 – ПИР ЭС, ПИР ГВС, ПИР ТС),</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2020-2022 (2020 – ВДИС ЭС, ВДИС ТС),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2026-2028 (2026 – ВДИС ГВС), 2035-2037, 2038-2040.</w:t>
            </w:r>
          </w:p>
          <w:p>
            <w:pPr>
              <w:pStyle w:val="Normal"/>
              <w:spacing w:before="0" w:after="200"/>
              <w:contextualSpacing/>
              <w:jc w:val="both"/>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Воспрепятствование собственниками </w:t>
            </w:r>
          </w:p>
        </w:tc>
      </w:tr>
      <w:tr>
        <w:trPr>
          <w:trHeight w:val="85" w:hRule="atLeast"/>
        </w:trPr>
        <w:tc>
          <w:tcPr>
            <w:tcW w:w="1290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290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rPr>
              <w:t>Заявление (пункт 3.2 Порядка)</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tc>
      </w:tr>
      <w:tr>
        <w:trPr>
          <w:trHeight w:val="125" w:hRule="atLeast"/>
        </w:trPr>
        <w:tc>
          <w:tcPr>
            <w:tcW w:w="12901"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Сведения по форме согласно приложению 5 к настоящему Порядку</w:t>
            </w:r>
          </w:p>
        </w:tc>
        <w:tc>
          <w:tcPr>
            <w:tcW w:w="2692"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tc>
      </w:tr>
      <w:tr>
        <w:trPr>
          <w:trHeight w:val="688" w:hRule="atLeast"/>
        </w:trPr>
        <w:tc>
          <w:tcPr>
            <w:tcW w:w="12901"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копии документов, подтверждающих невозможность оказания услуг и(или) выполнения работ по капитальному ремонту.</w:t>
            </w:r>
          </w:p>
        </w:tc>
        <w:tc>
          <w:tcPr>
            <w:tcW w:w="2692"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rPr>
                <w:rFonts w:ascii="Times New Roman" w:hAnsi="Times New Roman" w:cs="Times New Roman"/>
              </w:rPr>
            </w:pPr>
            <w:r>
              <w:rPr>
                <w:rFonts w:cs="Times New Roman" w:ascii="Times New Roman" w:hAnsi="Times New Roman"/>
              </w:rPr>
            </w:r>
          </w:p>
        </w:tc>
      </w:tr>
    </w:tbl>
    <w:p>
      <w:pPr>
        <w:pStyle w:val="Normal"/>
        <w:spacing w:before="0" w:after="0"/>
        <w:jc w:val="both"/>
        <w:rPr>
          <w:rFonts w:ascii="Times New Roman" w:hAnsi="Times New Roman" w:eastAsia="Times New Roman" w:cs="Times New Roman"/>
          <w:b/>
          <w:i/>
          <w:i/>
          <w:iCs/>
          <w:u w:val="single"/>
        </w:rPr>
      </w:pPr>
      <w:r>
        <w:rPr>
          <w:rFonts w:eastAsia="Times New Roman" w:cs="Times New Roman" w:ascii="Times New Roman" w:hAnsi="Times New Roman"/>
          <w:b/>
          <w:i/>
          <w:iCs/>
          <w:u w:val="single"/>
        </w:rPr>
      </w:r>
    </w:p>
    <w:p>
      <w:pPr>
        <w:pStyle w:val="Normal"/>
        <w:spacing w:before="0" w:after="0"/>
        <w:ind w:firstLine="709"/>
        <w:jc w:val="both"/>
        <w:rPr>
          <w:rFonts w:ascii="Times New Roman" w:hAnsi="Times New Roman" w:cs="Times New Roman"/>
          <w:b/>
          <w:i/>
          <w:i/>
          <w:iCs/>
          <w:sz w:val="24"/>
          <w:szCs w:val="24"/>
          <w:u w:val="single"/>
        </w:rPr>
      </w:pPr>
      <w:r>
        <w:rPr>
          <w:rFonts w:eastAsia="Times New Roman" w:cs="Times New Roman" w:ascii="Times New Roman" w:hAnsi="Times New Roman"/>
          <w:b/>
          <w:i/>
          <w:iCs/>
          <w:sz w:val="24"/>
          <w:szCs w:val="24"/>
          <w:u w:val="single"/>
        </w:rPr>
        <w:t>1.3.2. Исключение из региональной программы многоквартирных домов в случаях, если:</w:t>
      </w:r>
    </w:p>
    <w:p>
      <w:pPr>
        <w:pStyle w:val="Normal"/>
        <w:spacing w:before="0" w:after="0"/>
        <w:jc w:val="both"/>
        <w:rPr>
          <w:rFonts w:ascii="Times New Roman" w:hAnsi="Times New Roman" w:cs="Times New Roman"/>
          <w:bCs/>
          <w:i/>
          <w:i/>
          <w:iCs/>
          <w:sz w:val="24"/>
          <w:szCs w:val="24"/>
          <w:u w:val="single"/>
        </w:rPr>
      </w:pPr>
      <w:r>
        <w:rPr>
          <w:rFonts w:eastAsia="Times New Roman" w:cs="Times New Roman" w:ascii="Times New Roman" w:hAnsi="Times New Roman"/>
          <w:bCs/>
          <w:i/>
          <w:iCs/>
          <w:sz w:val="24"/>
          <w:szCs w:val="24"/>
          <w:u w:val="single"/>
        </w:rPr>
        <w:t xml:space="preserve">1) многоквартирный дом признан аварийным и подлежащим сносу или реконструкции в порядке, установленном </w:t>
      </w:r>
      <w:hyperlink r:id="rId3" w:tgtFrame="https://login.consultant.ru/link/?req=doc&amp;base=LAW&amp;n=489041&amp;dst=100132">
        <w:r>
          <w:rPr>
            <w:rStyle w:val="Hyperlink"/>
            <w:rFonts w:eastAsia="Times New Roman" w:cs="Times New Roman" w:ascii="Times New Roman" w:hAnsi="Times New Roman"/>
            <w:bCs/>
            <w:i/>
            <w:iCs/>
            <w:sz w:val="24"/>
            <w:szCs w:val="24"/>
          </w:rPr>
          <w:t>Положением</w:t>
        </w:r>
      </w:hyperlink>
      <w:r>
        <w:rPr>
          <w:rFonts w:eastAsia="Times New Roman" w:cs="Times New Roman" w:ascii="Times New Roman" w:hAnsi="Times New Roman"/>
          <w:bCs/>
          <w:i/>
          <w:iCs/>
          <w:sz w:val="24"/>
          <w:szCs w:val="24"/>
          <w:u w:val="single"/>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утвержденным постановлением Правительства Российской Федерации от 28 января 2006 года N 47;</w:t>
      </w:r>
    </w:p>
    <w:tbl>
      <w:tblPr>
        <w:tblW w:w="15735"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6"/>
        <w:gridCol w:w="12476"/>
        <w:gridCol w:w="2693"/>
      </w:tblGrid>
      <w:tr>
        <w:trPr>
          <w:trHeight w:val="113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Cs/>
              </w:rPr>
            </w:pPr>
            <w:r>
              <w:rPr>
                <w:rFonts w:eastAsia="Times New Roman" w:cs="Times New Roman" w:ascii="Times New Roman" w:hAnsi="Times New Roman"/>
                <w:bCs/>
              </w:rPr>
              <w:t>1.</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Cs/>
              </w:rPr>
            </w:pPr>
            <w:r>
              <w:rPr>
                <w:rFonts w:eastAsia="Times New Roman" w:cs="Times New Roman" w:ascii="Times New Roman" w:hAnsi="Times New Roman"/>
                <w:b/>
              </w:rPr>
              <w:t xml:space="preserve">Гатчинский муниципальный округ, тер. Пижма (Мыза), д. 10– </w:t>
            </w:r>
            <w:r>
              <w:rPr>
                <w:rFonts w:eastAsia="Times New Roman" w:cs="Times New Roman" w:ascii="Times New Roman" w:hAnsi="Times New Roman"/>
                <w:bCs/>
              </w:rPr>
              <w:t>исключение из региональной программы аварийного многоквартирного дома.</w:t>
            </w:r>
          </w:p>
          <w:p>
            <w:pPr>
              <w:pStyle w:val="Normal"/>
              <w:spacing w:before="0" w:after="200"/>
              <w:contextualSpacing/>
              <w:rPr>
                <w:rFonts w:ascii="Times New Roman" w:hAnsi="Times New Roman" w:cs="Times New Roman"/>
                <w:bCs/>
              </w:rPr>
            </w:pPr>
            <w:r>
              <w:rPr>
                <w:rFonts w:eastAsia="Times New Roman" w:cs="Times New Roman" w:ascii="Times New Roman" w:hAnsi="Times New Roman"/>
                <w:bCs/>
              </w:rPr>
              <w:t>Дом 1970 года постройки, 3 этажа.</w:t>
            </w:r>
          </w:p>
          <w:p>
            <w:pPr>
              <w:pStyle w:val="Normal"/>
              <w:spacing w:before="0" w:after="200"/>
              <w:contextualSpacing/>
              <w:rPr>
                <w:rFonts w:ascii="Times New Roman" w:hAnsi="Times New Roman" w:eastAsia="Times New Roman" w:cs="Times New Roman"/>
                <w:bCs/>
              </w:rPr>
            </w:pPr>
            <w:r>
              <w:rPr>
                <w:rFonts w:eastAsia="Times New Roman" w:cs="Times New Roman" w:ascii="Times New Roman" w:hAnsi="Times New Roman"/>
                <w:b/>
              </w:rPr>
              <w:t xml:space="preserve">Периоды проведения капитального ремонта: </w:t>
            </w:r>
            <w:r>
              <w:rPr>
                <w:rFonts w:eastAsia="Times New Roman" w:cs="Times New Roman" w:ascii="Times New Roman" w:hAnsi="Times New Roman"/>
              </w:rPr>
              <w:t xml:space="preserve">2026-2028,  2029-2031, 2032-2034, </w:t>
            </w:r>
            <w:r>
              <w:rPr>
                <w:rFonts w:eastAsia="Times New Roman" w:cs="Times New Roman" w:ascii="Times New Roman" w:hAnsi="Times New Roman"/>
                <w:bCs/>
              </w:rPr>
              <w:t>2035-2037, 2038-2040, 2041-2043, 2044-2046, 2047-2049, 2050-2052.</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r>
          </w:p>
        </w:tc>
      </w:tr>
      <w:tr>
        <w:trPr>
          <w:trHeight w:val="113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bCs/>
              </w:rPr>
            </w:pPr>
            <w:r>
              <w:rPr>
                <w:rFonts w:eastAsia="Times New Roman" w:cs="Times New Roman" w:ascii="Times New Roman" w:hAnsi="Times New Roman"/>
                <w:bCs/>
              </w:rPr>
              <w:t>2.</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Times New Roman" w:hAnsi="Times New Roman" w:cs="Times New Roman"/>
                <w:bCs/>
              </w:rPr>
            </w:pPr>
            <w:r>
              <w:rPr>
                <w:rFonts w:cs="Times New Roman" w:ascii="Times New Roman" w:hAnsi="Times New Roman"/>
                <w:b/>
              </w:rPr>
              <w:t>Лодейнопольский муниципальный район, С. Алеховщина, ул. Школьная, д. 18</w:t>
            </w:r>
            <w:r>
              <w:rPr>
                <w:rFonts w:eastAsia="Times New Roman" w:cs="Times New Roman" w:ascii="Times New Roman" w:hAnsi="Times New Roman"/>
                <w:b/>
              </w:rPr>
              <w:t xml:space="preserve">– </w:t>
            </w:r>
            <w:r>
              <w:rPr>
                <w:rFonts w:eastAsia="Times New Roman" w:cs="Times New Roman" w:ascii="Times New Roman" w:hAnsi="Times New Roman"/>
                <w:bCs/>
              </w:rPr>
              <w:t>исключение из региональной программы аварийного многоквартирного дома.</w:t>
            </w:r>
          </w:p>
          <w:p>
            <w:pPr>
              <w:pStyle w:val="Normal"/>
              <w:spacing w:before="0" w:after="0"/>
              <w:rPr>
                <w:rFonts w:ascii="Times New Roman" w:hAnsi="Times New Roman" w:cs="Times New Roman"/>
                <w:bCs/>
              </w:rPr>
            </w:pPr>
            <w:r>
              <w:rPr>
                <w:rFonts w:eastAsia="Times New Roman" w:cs="Times New Roman" w:ascii="Times New Roman" w:hAnsi="Times New Roman"/>
                <w:bCs/>
              </w:rPr>
              <w:t>Дом 1971 года постройки, 2 этажа.</w:t>
            </w:r>
          </w:p>
          <w:p>
            <w:pPr>
              <w:pStyle w:val="Normal"/>
              <w:spacing w:before="0" w:after="0"/>
              <w:rPr>
                <w:rFonts w:ascii="Times New Roman" w:hAnsi="Times New Roman" w:eastAsia="Times New Roman" w:cs="Times New Roman"/>
                <w:bCs/>
              </w:rPr>
            </w:pPr>
            <w:r>
              <w:rPr>
                <w:rFonts w:eastAsia="Times New Roman" w:cs="Times New Roman" w:ascii="Times New Roman" w:hAnsi="Times New Roman"/>
                <w:b/>
              </w:rPr>
              <w:t xml:space="preserve">Периоды проведения капитального ремонта: </w:t>
            </w:r>
            <w:r>
              <w:rPr>
                <w:rFonts w:eastAsia="Times New Roman" w:cs="Times New Roman" w:ascii="Times New Roman" w:hAnsi="Times New Roman"/>
              </w:rPr>
              <w:t xml:space="preserve">2029-2031, 2032-2034, </w:t>
            </w:r>
            <w:r>
              <w:rPr>
                <w:rFonts w:eastAsia="Times New Roman" w:cs="Times New Roman" w:ascii="Times New Roman" w:hAnsi="Times New Roman"/>
                <w:bCs/>
              </w:rPr>
              <w:t>2035-2037, 2038-2040, 2041-2043.</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b/>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r>
          </w:p>
        </w:tc>
      </w:tr>
      <w:tr>
        <w:trPr>
          <w:trHeight w:val="291" w:hRule="atLeast"/>
        </w:trPr>
        <w:tc>
          <w:tcPr>
            <w:tcW w:w="15735" w:type="dxa"/>
            <w:gridSpan w:val="3"/>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r>
      <w:tr>
        <w:trPr>
          <w:trHeight w:val="317"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rPr>
                <w:rFonts w:ascii="Times New Roman" w:hAnsi="Times New Roman" w:cs="Times New Roman"/>
                <w:bCs/>
              </w:rPr>
            </w:pPr>
            <w:r>
              <w:rPr>
                <w:rFonts w:cs="Times New Roman" w:ascii="Times New Roman" w:hAnsi="Times New Roman"/>
              </w:rPr>
              <w:t>Заявление (пункт 3.2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Times New Roman" w:hAnsi="Times New Roman" w:cs="Times New Roman"/>
                <w:bCs/>
              </w:rPr>
            </w:pPr>
            <w:r>
              <w:rPr>
                <w:rFonts w:eastAsia="Times New Roman" w:cs="Times New Roman" w:ascii="Times New Roman" w:hAnsi="Times New Roman"/>
                <w:bCs/>
              </w:rPr>
              <w:t>В наличии</w:t>
            </w:r>
          </w:p>
        </w:tc>
      </w:tr>
      <w:tr>
        <w:trPr>
          <w:trHeight w:val="291"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rPr>
                <w:rFonts w:ascii="Times New Roman" w:hAnsi="Times New Roman" w:cs="Times New Roman"/>
                <w:bCs/>
              </w:rPr>
            </w:pPr>
            <w:r>
              <w:rPr>
                <w:rFonts w:eastAsia="Times New Roman" w:cs="Times New Roman" w:ascii="Times New Roman" w:hAnsi="Times New Roman"/>
                <w:bCs/>
              </w:rPr>
              <w:t>Сведения по форме согласно приложению 4 к настоящему Порядку;</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Times New Roman" w:hAnsi="Times New Roman" w:cs="Times New Roman"/>
                <w:bCs/>
              </w:rPr>
            </w:pPr>
            <w:r>
              <w:rPr>
                <w:rFonts w:eastAsia="Times New Roman" w:cs="Times New Roman" w:ascii="Times New Roman" w:hAnsi="Times New Roman"/>
                <w:bCs/>
              </w:rPr>
              <w:t>В наличии</w:t>
            </w:r>
          </w:p>
        </w:tc>
      </w:tr>
      <w:tr>
        <w:trPr>
          <w:trHeight w:val="291"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bCs/>
              </w:rPr>
            </w:pPr>
            <w:r>
              <w:rPr>
                <w:rFonts w:eastAsia="Times New Roman" w:cs="Times New Roman" w:ascii="Times New Roman" w:hAnsi="Times New Roman"/>
                <w:bCs/>
              </w:rPr>
              <w:t xml:space="preserve">Копия решения о признании многоквартирного дома аварийным и подлежащим сносу или реконструкции, принятого в соответствии с </w:t>
            </w:r>
            <w:hyperlink r:id="rId4" w:tgtFrame="https://login.consultant.ru/link/?req=doc&amp;base=LAW&amp;n=489041&amp;dst=100160">
              <w:r>
                <w:rPr>
                  <w:rStyle w:val="Hyperlink"/>
                  <w:rFonts w:eastAsia="Times New Roman" w:cs="Times New Roman" w:ascii="Times New Roman" w:hAnsi="Times New Roman"/>
                  <w:bCs/>
                </w:rPr>
                <w:t>пунктом 47</w:t>
              </w:r>
            </w:hyperlink>
            <w:r>
              <w:rPr>
                <w:rFonts w:eastAsia="Times New Roman" w:cs="Times New Roman" w:ascii="Times New Roman" w:hAnsi="Times New Roman"/>
                <w:bCs/>
              </w:rPr>
              <w:t xml:space="preserve">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утвержденного постановлением Правительства Российской Федерации от 28 января 2006 года N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(представляется в случае, предусмотренном </w:t>
            </w:r>
            <w:hyperlink r:id="rId5" w:tgtFrame="https://login.consultant.ru/link/?req=doc&amp;base=SPB&amp;n=292885&amp;dst=100020">
              <w:r>
                <w:rPr>
                  <w:rStyle w:val="Hyperlink"/>
                  <w:rFonts w:eastAsia="Times New Roman" w:cs="Times New Roman" w:ascii="Times New Roman" w:hAnsi="Times New Roman"/>
                  <w:bCs/>
                </w:rPr>
                <w:t>подпунктом 1 пункта 1.3.2</w:t>
              </w:r>
            </w:hyperlink>
            <w:r>
              <w:rPr>
                <w:rFonts w:eastAsia="Times New Roman" w:cs="Times New Roman" w:ascii="Times New Roman" w:hAnsi="Times New Roman"/>
                <w:bCs/>
              </w:rPr>
              <w:t xml:space="preserve">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cs="Times New Roman"/>
                <w:bCs/>
              </w:rPr>
            </w:pPr>
            <w:r>
              <w:rPr>
                <w:rFonts w:eastAsia="Times New Roman" w:cs="Times New Roman" w:ascii="Times New Roman" w:hAnsi="Times New Roman"/>
                <w:bCs/>
              </w:rPr>
              <w:t>В наличии</w:t>
            </w:r>
          </w:p>
          <w:p>
            <w:pPr>
              <w:pStyle w:val="Normal"/>
              <w:spacing w:before="0" w:after="200"/>
              <w:rPr>
                <w:rFonts w:ascii="Times New Roman" w:hAnsi="Times New Roman" w:eastAsia="Times New Roman" w:cs="Times New Roman"/>
                <w:bCs/>
              </w:rPr>
            </w:pPr>
            <w:r>
              <w:rPr>
                <w:rFonts w:eastAsia="Times New Roman" w:cs="Times New Roman" w:ascii="Times New Roman" w:hAnsi="Times New Roman"/>
                <w:bCs/>
              </w:rPr>
            </w:r>
          </w:p>
        </w:tc>
      </w:tr>
    </w:tbl>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cs="Times New Roman"/>
          <w:b/>
        </w:rPr>
      </w:pPr>
      <w:r>
        <w:rPr>
          <w:rFonts w:eastAsia="Times New Roman" w:cs="Times New Roman" w:ascii="Times New Roman" w:hAnsi="Times New Roman"/>
          <w:b/>
        </w:rPr>
        <w:t>Приложение № 2</w:t>
      </w:r>
    </w:p>
    <w:p>
      <w:pPr>
        <w:pStyle w:val="Normal"/>
        <w:jc w:val="center"/>
        <w:rPr>
          <w:rFonts w:ascii="Times New Roman" w:hAnsi="Times New Roman" w:eastAsia="Times New Roman" w:cs="Times New Roman"/>
          <w:b/>
          <w:bCs/>
        </w:rPr>
      </w:pPr>
      <w:r>
        <w:rPr>
          <w:rFonts w:eastAsia="Times New Roman" w:cs="Times New Roman" w:ascii="Times New Roman" w:hAnsi="Times New Roman"/>
          <w:b/>
        </w:rPr>
        <w:t>Администрация муниципального образования Синявинское городское поселение Кировского муниципального района Ленинградской области</w:t>
      </w:r>
    </w:p>
    <w:p>
      <w:pPr>
        <w:pStyle w:val="Normal"/>
        <w:spacing w:before="240" w:after="200"/>
        <w:contextualSpacing/>
        <w:jc w:val="both"/>
        <w:rPr>
          <w:rFonts w:ascii="Times New Roman" w:hAnsi="Times New Roman" w:cs="Times New Roman"/>
          <w:b/>
          <w:bCs/>
          <w:i/>
          <w:i/>
          <w:iCs/>
          <w:sz w:val="24"/>
          <w:szCs w:val="24"/>
          <w:u w:val="single"/>
        </w:rPr>
      </w:pPr>
      <w:r>
        <w:rPr>
          <w:rFonts w:cs="Times New Roman" w:ascii="Times New Roman" w:hAnsi="Times New Roman"/>
          <w:b/>
          <w:bCs/>
          <w:i/>
          <w:iCs/>
          <w:sz w:val="24"/>
          <w:szCs w:val="24"/>
          <w:u w:val="single"/>
        </w:rPr>
        <w:t>1.3.4. Перенос установленного срока капитального ремонта (отдельных услуг и(или) работ по капитальному ремонту) на более ранний период (срок) в случаях:</w:t>
      </w:r>
    </w:p>
    <w:p>
      <w:pPr>
        <w:pStyle w:val="Normal"/>
        <w:spacing w:before="0" w:after="200"/>
        <w:ind w:right="142"/>
        <w:contextualSpacing/>
        <w:jc w:val="both"/>
        <w:rPr>
          <w:rFonts w:ascii="Times New Roman" w:hAnsi="Times New Roman" w:cs="Times New Roman"/>
          <w:i/>
          <w:i/>
          <w:iCs/>
          <w:u w:val="single"/>
        </w:rPr>
      </w:pPr>
      <w:r>
        <w:rPr>
          <w:rFonts w:cs="Times New Roman" w:ascii="Times New Roman" w:hAnsi="Times New Roman"/>
          <w:i/>
          <w:iCs/>
          <w:u w:val="single"/>
        </w:rPr>
        <w:t>1) установления необходимости проведения капитального ремонта (отдельных видов услуг и(или) работ по капитальному ремонту) в более ранний период (срок), чем предусмотрено региональной программой, в соответствии с настоящим Порядком;</w:t>
      </w:r>
    </w:p>
    <w:p>
      <w:pPr>
        <w:pStyle w:val="Normal"/>
        <w:spacing w:before="0" w:after="200"/>
        <w:ind w:firstLine="540"/>
        <w:contextualSpacing/>
        <w:jc w:val="both"/>
        <w:rPr>
          <w:rFonts w:ascii="Times New Roman" w:hAnsi="Times New Roman" w:cs="Times New Roman"/>
        </w:rPr>
      </w:pPr>
      <w:r>
        <w:rPr>
          <w:rFonts w:cs="Times New Roman" w:ascii="Times New Roman" w:hAnsi="Times New Roman"/>
        </w:rPr>
      </w:r>
    </w:p>
    <w:tbl>
      <w:tblPr>
        <w:tblW w:w="15735"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6"/>
        <w:gridCol w:w="12476"/>
        <w:gridCol w:w="2693"/>
      </w:tblGrid>
      <w:tr>
        <w:trPr>
          <w:trHeight w:val="1587"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rPr>
              <w:t>1.</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contextualSpacing/>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Кировский муниципальный район, г.п. Синявино, ул. Кравченко, д. 12 </w:t>
            </w:r>
            <w:r>
              <w:rPr>
                <w:rFonts w:eastAsia="Times New Roman" w:cs="Times New Roman" w:ascii="Times New Roman" w:hAnsi="Times New Roman"/>
                <w:sz w:val="24"/>
                <w:szCs w:val="24"/>
              </w:rPr>
              <w:t xml:space="preserve">– перенос срока капитального ремонта крыши (ПИР  +СМР) на 2026-2028 года </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rPr>
              <w:t>Дом 1993 года постройки, 5 этажей</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b/>
                <w:sz w:val="24"/>
                <w:szCs w:val="24"/>
              </w:rPr>
              <w:t xml:space="preserve">Периоды проведения капитального ремонта: </w:t>
            </w:r>
            <w:r>
              <w:rPr>
                <w:rFonts w:eastAsia="Times New Roman" w:cs="Times New Roman" w:ascii="Times New Roman" w:hAnsi="Times New Roman"/>
                <w:sz w:val="24"/>
                <w:szCs w:val="24"/>
              </w:rPr>
              <w:t>2035-2037, 2041-2043</w:t>
            </w:r>
          </w:p>
          <w:p>
            <w:pPr>
              <w:pStyle w:val="Normal"/>
              <w:spacing w:before="0" w:after="0"/>
              <w:contextualSpacing/>
              <w:jc w:val="both"/>
              <w:rPr>
                <w:rFonts w:ascii="Times New Roman" w:hAnsi="Times New Roman" w:cs="Times New Roman"/>
                <w:b/>
                <w:sz w:val="24"/>
                <w:szCs w:val="24"/>
              </w:rPr>
            </w:pPr>
            <w:r>
              <w:rPr>
                <w:rFonts w:eastAsia="Times New Roman" w:cs="Times New Roman" w:ascii="Times New Roman" w:hAnsi="Times New Roman"/>
                <w:b/>
                <w:sz w:val="24"/>
                <w:szCs w:val="24"/>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протокола общего собрания собственников помещений в многоквартирном доме, содержащего решение общего собрания собственников помещений в многоквартирном доме о переносе установленного региональной программой срока капитального ремонта (срока оказания отдельных услуг и(или) выполнения работ по капитальному ремонту) на более ранний период (срок)</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сведения по форме согласно приложению 6 к настоящему Порядку</w:t>
            </w:r>
          </w:p>
          <w:p>
            <w:pPr>
              <w:pStyle w:val="Normal"/>
              <w:spacing w:before="0" w:after="200"/>
              <w:contextualSpacing/>
              <w:jc w:val="both"/>
              <w:rPr>
                <w:rFonts w:ascii="Times New Roman" w:hAnsi="Times New Roman" w:cs="Times New Roman"/>
              </w:rPr>
            </w:pPr>
            <w:r>
              <w:rPr>
                <w:rFonts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1214"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заключения специализированной организации, проводившей техническое обследование многоквартирного дома, включенного в региональную программу, оформленного не ранее чем за три года до даты подачи заявления, предусмотренного пунктом 3.2 настоящего Порядка, с указанием степени износа конструктивных элементов или внутридомовых инженерных систем в многоквартирном доме;</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rPr>
            </w:pPr>
            <w:r>
              <w:rPr>
                <w:rFonts w:cs="Times New Roman" w:ascii="Times New Roman" w:hAnsi="Times New Roman"/>
              </w:rPr>
            </w:r>
          </w:p>
        </w:tc>
      </w:tr>
      <w:tr>
        <w:trPr>
          <w:trHeight w:val="1409"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rPr>
            </w:pPr>
            <w:r>
              <w:rPr>
                <w:rFonts w:eastAsia="Times New Roman" w:cs="Times New Roman" w:ascii="Times New Roman" w:hAnsi="Times New Roman"/>
              </w:rPr>
              <w:t>Справка регионального оператора о формировании фонда капитального ремонта в отношении данного многоквартирного дома, содержащая одно из следующих заключений:</w:t>
            </w:r>
          </w:p>
          <w:p>
            <w:pPr>
              <w:pStyle w:val="ListParagraph"/>
              <w:numPr>
                <w:ilvl w:val="0"/>
                <w:numId w:val="1"/>
              </w:numPr>
              <w:spacing w:before="0" w:after="0"/>
              <w:contextualSpacing/>
              <w:jc w:val="both"/>
              <w:rPr>
                <w:rFonts w:ascii="Times New Roman" w:hAnsi="Times New Roman" w:cs="Times New Roman"/>
              </w:rPr>
            </w:pPr>
            <w:r>
              <w:rPr>
                <w:rFonts w:eastAsia="Times New Roman" w:cs="Times New Roman" w:ascii="Times New Roman" w:hAnsi="Times New Roman"/>
                <w:highlight w:val="white"/>
              </w:rPr>
              <w:t xml:space="preserve">о размере фактических поступлений взносов на капитальный, </w:t>
            </w:r>
            <w:r>
              <w:rPr>
                <w:rFonts w:eastAsia="Times New Roman" w:cs="Times New Roman" w:ascii="Times New Roman" w:hAnsi="Times New Roman"/>
              </w:rPr>
              <w:t>при этом собираемость взносов на капитальный ремонт собственников помещений в многоквартирном доме составляет не менее 95 процентов за весь период их начисления в многоквартирном доме начиная с месяца начисления по месяц, предшествующий месяцу подачи заявления, в соответствии с пунктом 3.2 настоящего Порядка и собираемость взносов на капитальный ремонт администрацией муниципального образования, на территории которого расположен многоквартирный дом, составляет не менее 100 процентов за весь период их начисления администрации муниципального образования начиная с месяца начисления по месяц, предшествующий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Собираемость:</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Собственники – 95,18%</w:t>
            </w:r>
          </w:p>
          <w:p>
            <w:pPr>
              <w:pStyle w:val="Normal"/>
              <w:spacing w:before="0" w:after="200"/>
              <w:contextualSpacing/>
              <w:rPr>
                <w:rFonts w:ascii="Times New Roman" w:hAnsi="Times New Roman" w:cs="Times New Roman"/>
              </w:rPr>
            </w:pPr>
            <w:r>
              <w:rPr>
                <w:rFonts w:eastAsia="Times New Roman" w:cs="Times New Roman" w:ascii="Times New Roman" w:hAnsi="Times New Roman"/>
                <w:b/>
              </w:rPr>
              <w:t>АМО – 100,20%</w:t>
            </w:r>
          </w:p>
        </w:tc>
      </w:tr>
      <w:tr>
        <w:trPr>
          <w:trHeight w:val="412"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Копии проектно-сметной документации на выполнение работ и(или) услуг по капитальному ремонту общего имущества в многоквартирном доме, разработанной и утвержденной в соответствии с действующим законодательством, или локальные сметные расчеты, составленные по результатам проведенного мониторинга технического состояния многоквартирного дома по видам услуг и(или) работ по капитальному ремонту, по которым подано заявление о переносе срока капитального ремонта на более ранний период (срок), согласованные с региональным оператором;</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rPr>
            </w:pPr>
            <w:r>
              <w:rPr>
                <w:rFonts w:cs="Times New Roman" w:ascii="Times New Roman" w:hAnsi="Times New Roman"/>
              </w:rPr>
            </w:r>
          </w:p>
        </w:tc>
      </w:tr>
      <w:tr>
        <w:trPr>
          <w:trHeight w:val="699"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rPr>
            </w:pPr>
            <w:r>
              <w:rPr>
                <w:rFonts w:eastAsia="Times New Roman" w:cs="Times New Roman" w:ascii="Times New Roman" w:hAnsi="Times New Roman"/>
              </w:rPr>
              <w:t>Справка регионального оператора об отсутствии задолженности собственников помещений в многоквартирном доме за оказанные услуги и(или) выполненные работы по капитальному ремонту общего имущества в многоквартирном доме (за исключением многоквартирных домов, являющихся объектами культурного наследия), непогашенной в течение 15 лет с года, следующего за годом оказания соответствующих услуг и(или) выполнения работ по капитальному ремонту общего имущества в многоквартирном доме, подлежащей погашению за счет фонда капитального ремонта, рассчитанной без учета мер государственной поддержки, предусмотренной статьей 191 Жилищного кодекса Российской Федерации, по состоянию на первое число месяца, предшествующего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highlight w:val="yellow"/>
              </w:rPr>
            </w:pPr>
            <w:r>
              <w:rPr>
                <w:rFonts w:cs="Times New Roman" w:ascii="Times New Roman" w:hAnsi="Times New Roman"/>
                <w:highlight w:val="yellow"/>
              </w:rPr>
            </w:r>
          </w:p>
        </w:tc>
      </w:tr>
    </w:tbl>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cs="Times New Roman"/>
          <w:b/>
        </w:rPr>
      </w:pPr>
      <w:r>
        <w:rPr>
          <w:rFonts w:eastAsia="Times New Roman" w:cs="Times New Roman" w:ascii="Times New Roman" w:hAnsi="Times New Roman"/>
          <w:b/>
        </w:rPr>
        <w:t>Приложение № 3</w:t>
      </w:r>
    </w:p>
    <w:p>
      <w:pPr>
        <w:pStyle w:val="Normal"/>
        <w:jc w:val="center"/>
        <w:rPr>
          <w:rFonts w:ascii="Times New Roman" w:hAnsi="Times New Roman" w:eastAsia="Times New Roman" w:cs="Times New Roman"/>
          <w:b/>
          <w:bCs/>
        </w:rPr>
      </w:pPr>
      <w:r>
        <w:rPr>
          <w:rFonts w:eastAsia="Times New Roman" w:cs="Times New Roman" w:ascii="Times New Roman" w:hAnsi="Times New Roman"/>
          <w:b/>
        </w:rPr>
        <w:t>Администрация Всеволожского муниципального района Ленинградской области</w:t>
      </w:r>
    </w:p>
    <w:p>
      <w:pPr>
        <w:pStyle w:val="Normal"/>
        <w:spacing w:before="240" w:after="200"/>
        <w:contextualSpacing/>
        <w:jc w:val="both"/>
        <w:rPr>
          <w:rFonts w:ascii="Times New Roman" w:hAnsi="Times New Roman" w:cs="Times New Roman"/>
          <w:b/>
          <w:bCs/>
          <w:i/>
          <w:i/>
          <w:iCs/>
          <w:sz w:val="24"/>
          <w:szCs w:val="24"/>
          <w:u w:val="single"/>
        </w:rPr>
      </w:pPr>
      <w:r>
        <w:rPr>
          <w:rFonts w:cs="Times New Roman" w:ascii="Times New Roman" w:hAnsi="Times New Roman"/>
          <w:b/>
          <w:bCs/>
          <w:i/>
          <w:iCs/>
          <w:sz w:val="24"/>
          <w:szCs w:val="24"/>
          <w:u w:val="single"/>
        </w:rPr>
        <w:t>1.3.4. Перенос установленного срока капитального ремонта (отдельных услуг и(или) работ по капитальному ремонту) на более ранний период (срок) в случаях:</w:t>
      </w:r>
    </w:p>
    <w:p>
      <w:pPr>
        <w:pStyle w:val="Normal"/>
        <w:spacing w:before="0" w:after="200"/>
        <w:ind w:right="142"/>
        <w:contextualSpacing/>
        <w:jc w:val="both"/>
        <w:rPr>
          <w:rFonts w:ascii="Times New Roman" w:hAnsi="Times New Roman" w:cs="Times New Roman"/>
          <w:i/>
          <w:i/>
          <w:iCs/>
          <w:u w:val="single"/>
        </w:rPr>
      </w:pPr>
      <w:r>
        <w:rPr>
          <w:rFonts w:cs="Times New Roman" w:ascii="Times New Roman" w:hAnsi="Times New Roman"/>
          <w:i/>
          <w:iCs/>
          <w:u w:val="single"/>
        </w:rPr>
        <w:t>1) установления необходимости проведения капитального ремонта (отдельных видов услуг и(или) работ по капитальному ремонту) в более ранний период (срок), чем предусмотрено региональной программой, в соответствии с настоящим Порядком;</w:t>
      </w:r>
    </w:p>
    <w:p>
      <w:pPr>
        <w:pStyle w:val="Normal"/>
        <w:spacing w:before="0" w:after="200"/>
        <w:ind w:firstLine="540"/>
        <w:contextualSpacing/>
        <w:jc w:val="both"/>
        <w:rPr>
          <w:rFonts w:ascii="Times New Roman" w:hAnsi="Times New Roman" w:cs="Times New Roman"/>
        </w:rPr>
      </w:pPr>
      <w:r>
        <w:rPr>
          <w:rFonts w:cs="Times New Roman" w:ascii="Times New Roman" w:hAnsi="Times New Roman"/>
        </w:rPr>
      </w:r>
    </w:p>
    <w:tbl>
      <w:tblPr>
        <w:tblW w:w="15735"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6"/>
        <w:gridCol w:w="12476"/>
        <w:gridCol w:w="2693"/>
      </w:tblGrid>
      <w:tr>
        <w:trPr>
          <w:trHeight w:val="1587"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rPr>
              <w:t>1.</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contextualSpacing/>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Всеволожский муниципальный район, г. Всеволожск, ул. Ленинградская, д. 5 </w:t>
            </w:r>
            <w:r>
              <w:rPr>
                <w:rFonts w:eastAsia="Times New Roman" w:cs="Times New Roman" w:ascii="Times New Roman" w:hAnsi="Times New Roman"/>
                <w:sz w:val="24"/>
                <w:szCs w:val="24"/>
              </w:rPr>
              <w:t xml:space="preserve">– перенос срока капитального ремонта фасад (ПИР +СМР) на 2026-2028 года </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rPr>
              <w:t>Дом 1988 года постройки, 9 этажей</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b/>
                <w:sz w:val="24"/>
                <w:szCs w:val="24"/>
              </w:rPr>
              <w:t xml:space="preserve">Периоды проведения капитального ремонта: </w:t>
            </w:r>
            <w:r>
              <w:rPr>
                <w:rFonts w:eastAsia="Times New Roman" w:cs="Times New Roman" w:ascii="Times New Roman" w:hAnsi="Times New Roman"/>
                <w:bCs/>
                <w:sz w:val="24"/>
                <w:szCs w:val="24"/>
              </w:rPr>
              <w:t>2014-2016 (2016 - ПИР ЭС, Лифты), 2017-2019 (2019 – ВДИС ЭС),</w:t>
              <w:br/>
              <w:t>2029-2031, 2032-2034, 2035-2037, 2041-2043</w:t>
            </w:r>
          </w:p>
          <w:p>
            <w:pPr>
              <w:pStyle w:val="Normal"/>
              <w:spacing w:before="0" w:after="0"/>
              <w:contextualSpacing/>
              <w:jc w:val="both"/>
              <w:rPr>
                <w:rFonts w:ascii="Times New Roman" w:hAnsi="Times New Roman" w:cs="Times New Roman"/>
                <w:b/>
                <w:sz w:val="24"/>
                <w:szCs w:val="24"/>
              </w:rPr>
            </w:pPr>
            <w:r>
              <w:rPr>
                <w:rFonts w:eastAsia="Times New Roman" w:cs="Times New Roman" w:ascii="Times New Roman" w:hAnsi="Times New Roman"/>
                <w:b/>
                <w:sz w:val="24"/>
                <w:szCs w:val="24"/>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cs="Times New Roman" w:ascii="Times New Roman" w:hAnsi="Times New Roman"/>
              </w:rPr>
            </w:r>
          </w:p>
        </w:tc>
      </w:tr>
      <w:tr>
        <w:trPr>
          <w:trHeight w:val="1587"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2.</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contextualSpacing/>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Всеволожский муниципальный район, г. Всеволожск, ул. Ленинградская, д. 17 </w:t>
            </w:r>
            <w:r>
              <w:rPr>
                <w:rFonts w:eastAsia="Times New Roman" w:cs="Times New Roman" w:ascii="Times New Roman" w:hAnsi="Times New Roman"/>
                <w:sz w:val="24"/>
                <w:szCs w:val="24"/>
              </w:rPr>
              <w:t xml:space="preserve">– перенос срока капитального ремонта фасад (ПИР +СМР) на 2026-2028 года </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rPr>
              <w:t>Дом 1974 года постройки, 5 этажей</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b/>
                <w:sz w:val="24"/>
                <w:szCs w:val="24"/>
              </w:rPr>
              <w:t xml:space="preserve">Периоды проведения капитального ремонта: </w:t>
            </w:r>
            <w:r>
              <w:rPr>
                <w:rFonts w:eastAsia="Times New Roman" w:cs="Times New Roman" w:ascii="Times New Roman" w:hAnsi="Times New Roman"/>
                <w:bCs/>
                <w:sz w:val="24"/>
                <w:szCs w:val="24"/>
              </w:rPr>
              <w:t>2029-2031, 2032-2034, 2035-2037, 2041-2043</w:t>
            </w:r>
          </w:p>
          <w:p>
            <w:pPr>
              <w:pStyle w:val="Normal"/>
              <w:spacing w:before="0" w:after="0"/>
              <w:contextualSpacing/>
              <w:rPr>
                <w:rFonts w:ascii="Times New Roman" w:hAnsi="Times New Roman" w:eastAsia="Times New Roman" w:cs="Times New Roman"/>
                <w:bCs/>
                <w:sz w:val="24"/>
                <w:szCs w:val="24"/>
              </w:rPr>
            </w:pPr>
            <w:r>
              <w:rPr>
                <w:rFonts w:eastAsia="Times New Roman" w:cs="Times New Roman" w:ascii="Times New Roman" w:hAnsi="Times New Roman"/>
                <w:b/>
                <w:sz w:val="24"/>
                <w:szCs w:val="24"/>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протокола общего собрания собственников помещений в многоквартирном доме, содержащего решение общего собрания собственников помещений в многоквартирном доме о переносе установленного региональной программой срока капитального ремонта (срока оказания отдельных услуг и(или) выполнения работ по капитальному ремонту) на более ранний период (срок)</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сведения по форме согласно приложению 6 к настоящему Порядку</w:t>
            </w:r>
          </w:p>
          <w:p>
            <w:pPr>
              <w:pStyle w:val="Normal"/>
              <w:spacing w:before="0" w:after="200"/>
              <w:contextualSpacing/>
              <w:jc w:val="both"/>
              <w:rPr>
                <w:rFonts w:ascii="Times New Roman" w:hAnsi="Times New Roman" w:cs="Times New Roman"/>
              </w:rPr>
            </w:pPr>
            <w:r>
              <w:rPr>
                <w:rFonts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1095" w:hRule="atLeast"/>
        </w:trPr>
        <w:tc>
          <w:tcPr>
            <w:tcW w:w="13042" w:type="dxa"/>
            <w:gridSpan w:val="2"/>
            <w:vMerge w:val="restart"/>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заключения специализированной организации, проводившей техническое обследование многоквартирного дома, включенного в региональную программу, оформленного не ранее чем за три года до даты подачи заявления, предусмотренного пунктом 3.2 настоящего Порядка, с указанием степени износа конструктивных элементов или внутридомовых инженерных систем в многоквартирном доме;</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rPr>
            </w:pPr>
            <w:r>
              <w:rPr>
                <w:rFonts w:cs="Times New Roman" w:ascii="Times New Roman" w:hAnsi="Times New Roman"/>
              </w:rPr>
            </w:r>
          </w:p>
        </w:tc>
      </w:tr>
      <w:tr>
        <w:trPr>
          <w:trHeight w:val="1095" w:hRule="atLeast"/>
        </w:trPr>
        <w:tc>
          <w:tcPr>
            <w:tcW w:w="13042" w:type="dxa"/>
            <w:gridSpan w:val="2"/>
            <w:vMerge w:val="continue"/>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r>
          </w:p>
        </w:tc>
      </w:tr>
      <w:tr>
        <w:trPr>
          <w:trHeight w:val="1328" w:hRule="atLeast"/>
        </w:trPr>
        <w:tc>
          <w:tcPr>
            <w:tcW w:w="13042" w:type="dxa"/>
            <w:gridSpan w:val="2"/>
            <w:vMerge w:val="restart"/>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rPr>
            </w:pPr>
            <w:r>
              <w:rPr>
                <w:rFonts w:eastAsia="Times New Roman" w:cs="Times New Roman" w:ascii="Times New Roman" w:hAnsi="Times New Roman"/>
              </w:rPr>
              <w:t>Справка регионального оператора о формировании фонда капитального ремонта в отношении данного многоквартирного дома, содержащая одно из следующих заключений:</w:t>
            </w:r>
          </w:p>
          <w:p>
            <w:pPr>
              <w:pStyle w:val="ListParagraph"/>
              <w:numPr>
                <w:ilvl w:val="0"/>
                <w:numId w:val="1"/>
              </w:numPr>
              <w:spacing w:before="0" w:after="0"/>
              <w:contextualSpacing/>
              <w:jc w:val="both"/>
              <w:rPr>
                <w:rFonts w:ascii="Times New Roman" w:hAnsi="Times New Roman" w:cs="Times New Roman"/>
              </w:rPr>
            </w:pPr>
            <w:r>
              <w:rPr>
                <w:rFonts w:eastAsia="Times New Roman" w:cs="Times New Roman" w:ascii="Times New Roman" w:hAnsi="Times New Roman"/>
                <w:highlight w:val="white"/>
              </w:rPr>
              <w:t xml:space="preserve">о размере фактических поступлений взносов на капитальный, </w:t>
            </w:r>
            <w:r>
              <w:rPr>
                <w:rFonts w:eastAsia="Times New Roman" w:cs="Times New Roman" w:ascii="Times New Roman" w:hAnsi="Times New Roman"/>
              </w:rPr>
              <w:t>при этом собираемость взносов на капитальный ремонт собственников помещений в многоквартирном доме составляет не менее 95 процентов за весь период их начисления в многоквартирном доме начиная с месяца начисления по месяц, предшествующий месяцу подачи заявления, в соответствии с пунктом 3.2 настоящего Порядка и собираемость взносов на капитальный ремонт администрацией муниципального образования, на территории которого расположен многоквартирный дом, составляет не менее 100 процентов за весь период их начисления администрации муниципального образования начиная с месяца начисления по месяц, предшествующий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Собираемость:</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Собственники – 97,19%</w:t>
            </w:r>
          </w:p>
          <w:p>
            <w:pPr>
              <w:pStyle w:val="Normal"/>
              <w:spacing w:before="0" w:after="200"/>
              <w:contextualSpacing/>
              <w:rPr>
                <w:rFonts w:ascii="Times New Roman" w:hAnsi="Times New Roman" w:cs="Times New Roman"/>
              </w:rPr>
            </w:pPr>
            <w:r>
              <w:rPr>
                <w:rFonts w:eastAsia="Times New Roman" w:cs="Times New Roman" w:ascii="Times New Roman" w:hAnsi="Times New Roman"/>
                <w:b/>
              </w:rPr>
              <w:t>АМО – 118,04%</w:t>
            </w:r>
          </w:p>
        </w:tc>
      </w:tr>
      <w:tr>
        <w:trPr>
          <w:trHeight w:val="1327" w:hRule="atLeast"/>
        </w:trPr>
        <w:tc>
          <w:tcPr>
            <w:tcW w:w="13042" w:type="dxa"/>
            <w:gridSpan w:val="2"/>
            <w:vMerge w:val="continue"/>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eastAsia="Times New Roman" w:cs="Times New Roman"/>
              </w:rPr>
            </w:pPr>
            <w:r>
              <w:rPr>
                <w:rFonts w:eastAsia="Times New Roman"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Собираемость:</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Собственники – 95,11%</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АМО – 118,04%</w:t>
            </w:r>
          </w:p>
        </w:tc>
      </w:tr>
      <w:tr>
        <w:trPr>
          <w:trHeight w:val="412"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Копии проектно-сметной документации на выполнение работ и(или) услуг по капитальному ремонту общего имущества в многоквартирном доме, разработанной и утвержденной в соответствии с действующим законодательством, или локальные сметные расчеты, составленные по результатам проведенного мониторинга технического состояния многоквартирного дома по видам услуг и(или) работ по капитальному ремонту, по которым подано заявление о переносе срока капитального ремонта на более ранний период (срок), согласованные с региональным оператором;</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rPr>
            </w:pPr>
            <w:r>
              <w:rPr>
                <w:rFonts w:cs="Times New Roman" w:ascii="Times New Roman" w:hAnsi="Times New Roman"/>
              </w:rPr>
            </w:r>
          </w:p>
        </w:tc>
      </w:tr>
      <w:tr>
        <w:trPr>
          <w:trHeight w:val="699"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rPr>
            </w:pPr>
            <w:r>
              <w:rPr>
                <w:rFonts w:eastAsia="Times New Roman" w:cs="Times New Roman" w:ascii="Times New Roman" w:hAnsi="Times New Roman"/>
              </w:rPr>
              <w:t>Справка регионального оператора об отсутствии задолженности собственников помещений в многоквартирном доме за оказанные услуги и(или) выполненные работы по капитальному ремонту общего имущества в многоквартирном доме (за исключением многоквартирных домов, являющихся объектами культурного наследия), непогашенной в течение 15 лет с года, следующего за годом оказания соответствующих услуг и(или) выполнения работ по капитальному ремонту общего имущества в многоквартирном доме, подлежащей погашению за счет фонда капитального ремонта, рассчитанной без учета мер государственной поддержки, предусмотренной статьей 191 Жилищного кодекса Российской Федерации, по состоянию на первое число месяца, предшествующего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highlight w:val="yellow"/>
              </w:rPr>
            </w:pPr>
            <w:r>
              <w:rPr>
                <w:rFonts w:cs="Times New Roman" w:ascii="Times New Roman" w:hAnsi="Times New Roman"/>
                <w:highlight w:val="yellow"/>
              </w:rPr>
            </w:r>
          </w:p>
        </w:tc>
      </w:tr>
    </w:tbl>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cs="Times New Roman"/>
          <w:b/>
        </w:rPr>
      </w:pPr>
      <w:r>
        <w:rPr>
          <w:rFonts w:eastAsia="Times New Roman" w:cs="Times New Roman" w:ascii="Times New Roman" w:hAnsi="Times New Roman"/>
          <w:b/>
        </w:rPr>
        <w:t>Приложение № 4</w:t>
      </w:r>
    </w:p>
    <w:p>
      <w:pPr>
        <w:pStyle w:val="Normal"/>
        <w:jc w:val="center"/>
        <w:rPr>
          <w:rFonts w:ascii="Times New Roman" w:hAnsi="Times New Roman" w:eastAsia="Times New Roman" w:cs="Times New Roman"/>
          <w:b/>
          <w:bCs/>
        </w:rPr>
      </w:pPr>
      <w:r>
        <w:rPr>
          <w:rFonts w:eastAsia="Times New Roman" w:cs="Times New Roman" w:ascii="Times New Roman" w:hAnsi="Times New Roman"/>
          <w:b/>
        </w:rPr>
        <w:t>Администрация муниципального образования Тихвинский муниципальный район Ленинградской области</w:t>
      </w:r>
    </w:p>
    <w:p>
      <w:pPr>
        <w:pStyle w:val="Normal"/>
        <w:spacing w:before="240" w:after="200"/>
        <w:contextualSpacing/>
        <w:jc w:val="both"/>
        <w:rPr>
          <w:rFonts w:ascii="Times New Roman" w:hAnsi="Times New Roman" w:cs="Times New Roman"/>
          <w:b/>
          <w:bCs/>
          <w:i/>
          <w:i/>
          <w:iCs/>
          <w:sz w:val="24"/>
          <w:szCs w:val="24"/>
          <w:u w:val="single"/>
        </w:rPr>
      </w:pPr>
      <w:r>
        <w:rPr>
          <w:rFonts w:cs="Times New Roman" w:ascii="Times New Roman" w:hAnsi="Times New Roman"/>
          <w:b/>
          <w:bCs/>
          <w:i/>
          <w:iCs/>
          <w:sz w:val="24"/>
          <w:szCs w:val="24"/>
          <w:u w:val="single"/>
        </w:rPr>
        <w:t>1.3.4. Перенос установленного срока капитального ремонта (отдельных услуг и(или) работ по капитальному ремонту) на более ранний период (срок) в случаях:</w:t>
      </w:r>
    </w:p>
    <w:p>
      <w:pPr>
        <w:pStyle w:val="Normal"/>
        <w:spacing w:before="0" w:after="200"/>
        <w:ind w:right="142"/>
        <w:contextualSpacing/>
        <w:jc w:val="both"/>
        <w:rPr>
          <w:rFonts w:ascii="Times New Roman" w:hAnsi="Times New Roman" w:cs="Times New Roman"/>
          <w:i/>
          <w:i/>
          <w:iCs/>
          <w:u w:val="single"/>
        </w:rPr>
      </w:pPr>
      <w:r>
        <w:rPr>
          <w:rFonts w:cs="Times New Roman" w:ascii="Times New Roman" w:hAnsi="Times New Roman"/>
          <w:i/>
          <w:iCs/>
          <w:u w:val="single"/>
        </w:rPr>
        <w:t>1) установления необходимости проведения капитального ремонта (отдельных видов услуг и(или) работ по капитальному ремонту) в более ранний период (срок), чем предусмотрено региональной программой, в соответствии с настоящим Порядком;</w:t>
      </w:r>
    </w:p>
    <w:p>
      <w:pPr>
        <w:pStyle w:val="Normal"/>
        <w:spacing w:before="0" w:after="200"/>
        <w:ind w:firstLine="540"/>
        <w:contextualSpacing/>
        <w:jc w:val="both"/>
        <w:rPr>
          <w:rFonts w:ascii="Times New Roman" w:hAnsi="Times New Roman" w:cs="Times New Roman"/>
        </w:rPr>
      </w:pPr>
      <w:r>
        <w:rPr>
          <w:rFonts w:cs="Times New Roman" w:ascii="Times New Roman" w:hAnsi="Times New Roman"/>
        </w:rPr>
      </w:r>
    </w:p>
    <w:tbl>
      <w:tblPr>
        <w:tblW w:w="15735"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6"/>
        <w:gridCol w:w="12476"/>
        <w:gridCol w:w="2693"/>
      </w:tblGrid>
      <w:tr>
        <w:trPr>
          <w:trHeight w:val="1587"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rPr>
              <w:t>1.</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contextualSpacing/>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Тихвинский муниципальный район, г. Тихвин, 3 микрорайон, д. 32 </w:t>
            </w:r>
            <w:r>
              <w:rPr>
                <w:rFonts w:eastAsia="Times New Roman" w:cs="Times New Roman" w:ascii="Times New Roman" w:hAnsi="Times New Roman"/>
                <w:sz w:val="24"/>
                <w:szCs w:val="24"/>
              </w:rPr>
              <w:t xml:space="preserve">– перенос срока капитального ремонта крыши (ПИР +СМР) и фасада (ПИР+СМР) на 2026-2028 года </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rPr>
              <w:t>Дом 1977 года постройки, 7 этажей</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b/>
                <w:sz w:val="24"/>
                <w:szCs w:val="24"/>
              </w:rPr>
              <w:t xml:space="preserve">Периоды проведения капитального ремонта: </w:t>
            </w:r>
            <w:r>
              <w:rPr>
                <w:rFonts w:eastAsia="Times New Roman" w:cs="Times New Roman" w:ascii="Times New Roman" w:hAnsi="Times New Roman"/>
                <w:bCs/>
                <w:sz w:val="24"/>
                <w:szCs w:val="24"/>
              </w:rPr>
              <w:t>2020-2022 (2021 - ПИР ХВС, ПИР ГВС), 2026-2028 (2027 – ВДИС ХВС, ВДИС ГВС), 2032-2034, 2035-2037, 2041-2043</w:t>
            </w:r>
          </w:p>
          <w:p>
            <w:pPr>
              <w:pStyle w:val="Normal"/>
              <w:spacing w:before="0" w:after="0"/>
              <w:contextualSpacing/>
              <w:jc w:val="both"/>
              <w:rPr>
                <w:rFonts w:ascii="Times New Roman" w:hAnsi="Times New Roman" w:cs="Times New Roman"/>
                <w:b/>
                <w:sz w:val="24"/>
                <w:szCs w:val="24"/>
              </w:rPr>
            </w:pPr>
            <w:r>
              <w:rPr>
                <w:rFonts w:eastAsia="Times New Roman" w:cs="Times New Roman" w:ascii="Times New Roman" w:hAnsi="Times New Roman"/>
                <w:b/>
                <w:sz w:val="24"/>
                <w:szCs w:val="24"/>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протокола общего собрания собственников помещений в многоквартирном доме, содержащего решение общего собрания собственников помещений в многоквартирном доме о переносе установленного региональной программой срока капитального ремонта (срока оказания отдельных услуг и(или) выполнения работ по капитальному ремонту) на более ранний период (срок)</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сведения по форме согласно приложению 6 к настоящему Порядку</w:t>
            </w:r>
          </w:p>
          <w:p>
            <w:pPr>
              <w:pStyle w:val="Normal"/>
              <w:spacing w:before="0" w:after="200"/>
              <w:contextualSpacing/>
              <w:jc w:val="both"/>
              <w:rPr>
                <w:rFonts w:ascii="Times New Roman" w:hAnsi="Times New Roman" w:cs="Times New Roman"/>
              </w:rPr>
            </w:pPr>
            <w:r>
              <w:rPr>
                <w:rFonts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2192"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заключения специализированной организации, проводившей техническое обследование многоквартирного дома, включенного в региональную программу, оформленного не ранее чем за три года до даты подачи заявления, предусмотренного пунктом 3.2 настоящего Порядка, с указанием степени износа конструктивных элементов или внутридомовых инженерных систем в многоквартирном доме;</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rPr>
            </w:pPr>
            <w:r>
              <w:rPr>
                <w:rFonts w:cs="Times New Roman" w:ascii="Times New Roman" w:hAnsi="Times New Roman"/>
              </w:rPr>
            </w:r>
          </w:p>
        </w:tc>
      </w:tr>
      <w:tr>
        <w:trPr>
          <w:trHeight w:val="2650"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rPr>
            </w:pPr>
            <w:r>
              <w:rPr>
                <w:rFonts w:eastAsia="Times New Roman" w:cs="Times New Roman" w:ascii="Times New Roman" w:hAnsi="Times New Roman"/>
              </w:rPr>
              <w:t>Справка регионального оператора о формировании фонда капитального ремонта в отношении данного многоквартирного дома, содержащая одно из следующих заключений:</w:t>
            </w:r>
          </w:p>
          <w:p>
            <w:pPr>
              <w:pStyle w:val="ListParagraph"/>
              <w:numPr>
                <w:ilvl w:val="0"/>
                <w:numId w:val="1"/>
              </w:numPr>
              <w:spacing w:before="0" w:after="0"/>
              <w:contextualSpacing/>
              <w:jc w:val="both"/>
              <w:rPr>
                <w:rFonts w:ascii="Times New Roman" w:hAnsi="Times New Roman" w:cs="Times New Roman"/>
              </w:rPr>
            </w:pPr>
            <w:r>
              <w:rPr>
                <w:rFonts w:eastAsia="Times New Roman" w:cs="Times New Roman" w:ascii="Times New Roman" w:hAnsi="Times New Roman"/>
                <w:highlight w:val="white"/>
              </w:rPr>
              <w:t xml:space="preserve">о размере фактических поступлений взносов на капитальный, </w:t>
            </w:r>
            <w:r>
              <w:rPr>
                <w:rFonts w:eastAsia="Times New Roman" w:cs="Times New Roman" w:ascii="Times New Roman" w:hAnsi="Times New Roman"/>
              </w:rPr>
              <w:t>при этом собираемость взносов на капитальный ремонт собственников помещений в многоквартирном доме составляет не менее 95 процентов за весь период их начисления в многоквартирном доме начиная с месяца начисления по месяц, предшествующий месяцу подачи заявления, в соответствии с пунктом 3.2 настоящего Порядка и собираемость взносов на капитальный ремонт администрацией муниципального образования, на территории которого расположен многоквартирный дом, составляет не менее 100 процентов за весь период их начисления администрации муниципального образования начиная с месяца начисления по месяц, предшествующий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Собираемость:</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Собственники – 97,37%</w:t>
            </w:r>
          </w:p>
          <w:p>
            <w:pPr>
              <w:pStyle w:val="Normal"/>
              <w:spacing w:before="0" w:after="200"/>
              <w:contextualSpacing/>
              <w:rPr>
                <w:rFonts w:ascii="Times New Roman" w:hAnsi="Times New Roman" w:cs="Times New Roman"/>
              </w:rPr>
            </w:pPr>
            <w:r>
              <w:rPr>
                <w:rFonts w:eastAsia="Times New Roman" w:cs="Times New Roman" w:ascii="Times New Roman" w:hAnsi="Times New Roman"/>
                <w:b/>
              </w:rPr>
              <w:t>АМО – 100,71%</w:t>
            </w:r>
          </w:p>
        </w:tc>
      </w:tr>
      <w:tr>
        <w:trPr>
          <w:trHeight w:val="412"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Копии проектно-сметной документации на выполнение работ и(или) услуг по капитальному ремонту общего имущества в многоквартирном доме, разработанной и утвержденной в соответствии с действующим законодательством, или локальные сметные расчеты, составленные по результатам проведенного мониторинга технического состояния многоквартирного дома по видам услуг и(или) работ по капитальному ремонту, по которым подано заявление о переносе срока капитального ремонта на более ранний период (срок), согласованные с региональным оператором;</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rPr>
            </w:pPr>
            <w:r>
              <w:rPr>
                <w:rFonts w:cs="Times New Roman" w:ascii="Times New Roman" w:hAnsi="Times New Roman"/>
              </w:rPr>
            </w:r>
          </w:p>
        </w:tc>
      </w:tr>
      <w:tr>
        <w:trPr>
          <w:trHeight w:val="699"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rPr>
            </w:pPr>
            <w:r>
              <w:rPr>
                <w:rFonts w:eastAsia="Times New Roman" w:cs="Times New Roman" w:ascii="Times New Roman" w:hAnsi="Times New Roman"/>
              </w:rPr>
              <w:t>Справка регионального оператора об отсутствии задолженности собственников помещений в многоквартирном доме за оказанные услуги и(или) выполненные работы по капитальному ремонту общего имущества в многоквартирном доме (за исключением многоквартирных домов, являющихся объектами культурного наследия), непогашенной в течение 15 лет с года, следующего за годом оказания соответствующих услуг и(или) выполнения работ по капитальному ремонту общего имущества в многоквартирном доме, подлежащей погашению за счет фонда капитального ремонта, рассчитанной без учета мер государственной поддержки, предусмотренной статьей 191 Жилищного кодекса Российской Федерации, по состоянию на первое число месяца, предшествующего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highlight w:val="yellow"/>
              </w:rPr>
            </w:pPr>
            <w:r>
              <w:rPr>
                <w:rFonts w:cs="Times New Roman" w:ascii="Times New Roman" w:hAnsi="Times New Roman"/>
                <w:highlight w:val="yellow"/>
              </w:rPr>
            </w:r>
          </w:p>
        </w:tc>
      </w:tr>
    </w:tbl>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cs="Times New Roman"/>
          <w:b/>
        </w:rPr>
      </w:pPr>
      <w:r>
        <w:rPr>
          <w:rFonts w:eastAsia="Times New Roman" w:cs="Times New Roman" w:ascii="Times New Roman" w:hAnsi="Times New Roman"/>
          <w:b/>
        </w:rPr>
        <w:t>Приложение № 5</w:t>
      </w:r>
    </w:p>
    <w:p>
      <w:pPr>
        <w:pStyle w:val="Normal"/>
        <w:jc w:val="center"/>
        <w:rPr>
          <w:rFonts w:ascii="Times New Roman" w:hAnsi="Times New Roman" w:eastAsia="Times New Roman" w:cs="Times New Roman"/>
          <w:b/>
          <w:bCs/>
        </w:rPr>
      </w:pPr>
      <w:r>
        <w:rPr>
          <w:rFonts w:eastAsia="Times New Roman" w:cs="Times New Roman" w:ascii="Times New Roman" w:hAnsi="Times New Roman"/>
          <w:b/>
        </w:rPr>
        <w:t>ООО «УК «Рекорд» / Всеволожский муниципальный район Ленинградской области</w:t>
      </w:r>
    </w:p>
    <w:p>
      <w:pPr>
        <w:pStyle w:val="Normal"/>
        <w:spacing w:before="240" w:after="200"/>
        <w:contextualSpacing/>
        <w:jc w:val="both"/>
        <w:rPr>
          <w:rFonts w:ascii="Times New Roman" w:hAnsi="Times New Roman" w:cs="Times New Roman"/>
          <w:b/>
          <w:bCs/>
          <w:i/>
          <w:i/>
          <w:iCs/>
          <w:sz w:val="24"/>
          <w:szCs w:val="24"/>
          <w:u w:val="single"/>
        </w:rPr>
      </w:pPr>
      <w:r>
        <w:rPr>
          <w:rFonts w:cs="Times New Roman" w:ascii="Times New Roman" w:hAnsi="Times New Roman"/>
          <w:b/>
          <w:bCs/>
          <w:i/>
          <w:iCs/>
          <w:sz w:val="24"/>
          <w:szCs w:val="24"/>
          <w:u w:val="single"/>
        </w:rPr>
        <w:t>1.3.4. Перенос установленного срока капитального ремонта (отдельных услуг и(или) работ по капитальному ремонту) на более ранний период (срок) в случаях:</w:t>
      </w:r>
    </w:p>
    <w:p>
      <w:pPr>
        <w:pStyle w:val="Normal"/>
        <w:spacing w:before="0" w:after="200"/>
        <w:ind w:right="142"/>
        <w:contextualSpacing/>
        <w:jc w:val="both"/>
        <w:rPr>
          <w:rFonts w:ascii="Times New Roman" w:hAnsi="Times New Roman" w:cs="Times New Roman"/>
          <w:i/>
          <w:i/>
          <w:iCs/>
          <w:u w:val="single"/>
        </w:rPr>
      </w:pPr>
      <w:r>
        <w:rPr>
          <w:rFonts w:cs="Times New Roman" w:ascii="Times New Roman" w:hAnsi="Times New Roman"/>
          <w:i/>
          <w:iCs/>
          <w:u w:val="single"/>
        </w:rPr>
        <w:t>1) установления необходимости проведения капитального ремонта (отдельных видов услуг и(или) работ по капитальному ремонту) в более ранний период (срок), чем предусмотрено региональной программой, в соответствии с настоящим Порядком;</w:t>
      </w:r>
    </w:p>
    <w:p>
      <w:pPr>
        <w:pStyle w:val="Normal"/>
        <w:spacing w:before="0" w:after="200"/>
        <w:ind w:firstLine="540"/>
        <w:contextualSpacing/>
        <w:jc w:val="both"/>
        <w:rPr>
          <w:rFonts w:ascii="Times New Roman" w:hAnsi="Times New Roman" w:cs="Times New Roman"/>
        </w:rPr>
      </w:pPr>
      <w:r>
        <w:rPr>
          <w:rFonts w:cs="Times New Roman" w:ascii="Times New Roman" w:hAnsi="Times New Roman"/>
        </w:rPr>
      </w:r>
    </w:p>
    <w:tbl>
      <w:tblPr>
        <w:tblW w:w="15735"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6"/>
        <w:gridCol w:w="12476"/>
        <w:gridCol w:w="2693"/>
      </w:tblGrid>
      <w:tr>
        <w:trPr>
          <w:trHeight w:val="1587"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rPr>
              <w:t>1.</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contextualSpacing/>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Всеволожский муниципальный район, дер. Новое Девяткино, ул. Ветеранов, д. 16 </w:t>
            </w:r>
            <w:r>
              <w:rPr>
                <w:rFonts w:eastAsia="Times New Roman" w:cs="Times New Roman" w:ascii="Times New Roman" w:hAnsi="Times New Roman"/>
                <w:sz w:val="24"/>
                <w:szCs w:val="24"/>
              </w:rPr>
              <w:t xml:space="preserve">– перенос срока ВДИС ЭС, ВДИС ХВС на 2026-2028 года </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rPr>
              <w:t>Дом 1986 года постройки, 12 этажей</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b/>
                <w:sz w:val="24"/>
                <w:szCs w:val="24"/>
              </w:rPr>
              <w:t xml:space="preserve">Периоды проведения капитального ремонта: </w:t>
            </w:r>
            <w:r>
              <w:rPr>
                <w:rFonts w:eastAsia="Times New Roman" w:cs="Times New Roman" w:ascii="Times New Roman" w:hAnsi="Times New Roman"/>
                <w:bCs/>
                <w:sz w:val="24"/>
                <w:szCs w:val="24"/>
              </w:rPr>
              <w:t>2014-2016 (ЛИФТЫ), 2035-2037, 2038-2040, 2041-2043</w:t>
            </w:r>
          </w:p>
          <w:p>
            <w:pPr>
              <w:pStyle w:val="Normal"/>
              <w:spacing w:before="0" w:after="0"/>
              <w:contextualSpacing/>
              <w:jc w:val="both"/>
              <w:rPr>
                <w:rFonts w:ascii="Times New Roman" w:hAnsi="Times New Roman" w:cs="Times New Roman"/>
                <w:b/>
                <w:sz w:val="24"/>
                <w:szCs w:val="24"/>
              </w:rPr>
            </w:pPr>
            <w:r>
              <w:rPr>
                <w:rFonts w:eastAsia="Times New Roman" w:cs="Times New Roman" w:ascii="Times New Roman" w:hAnsi="Times New Roman"/>
                <w:b/>
                <w:sz w:val="24"/>
                <w:szCs w:val="24"/>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cs="Times New Roman" w:ascii="Times New Roman" w:hAnsi="Times New Roman"/>
              </w:rPr>
              <w:t>Не полный комплект</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протокола общего собрания собственников помещений в многоквартирном доме, содержащего решение общего собрания собственников помещений в многоквартирном доме о переносе установленного региональной программой срока капитального ремонта (срока оказания отдельных услуг и(или) выполнения работ по капитальному ремонту) на более ранний период (срок)</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сведения по форме согласно приложению 6 к настоящему Порядку</w:t>
            </w:r>
          </w:p>
          <w:p>
            <w:pPr>
              <w:pStyle w:val="Normal"/>
              <w:spacing w:before="0" w:after="200"/>
              <w:contextualSpacing/>
              <w:jc w:val="both"/>
              <w:rPr>
                <w:rFonts w:ascii="Times New Roman" w:hAnsi="Times New Roman" w:cs="Times New Roman"/>
              </w:rPr>
            </w:pPr>
            <w:r>
              <w:rPr>
                <w:rFonts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В наличии </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(заполнены с ошибками)</w:t>
            </w:r>
          </w:p>
        </w:tc>
      </w:tr>
      <w:tr>
        <w:trPr>
          <w:trHeight w:val="1136"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заключения специализированной организации, проводившей техническое обследование многоквартирного дома, включенного в региональную программу, оформленного не ранее чем за три года до даты подачи заявления, предусмотренного пунктом 3.2 настоящего Порядка, с указанием степени износа конструктивных элементов или внутридомовых инженерных систем в многоквартирном доме;</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rPr>
            </w:pPr>
            <w:r>
              <w:rPr>
                <w:rFonts w:cs="Times New Roman" w:ascii="Times New Roman" w:hAnsi="Times New Roman"/>
              </w:rPr>
            </w:r>
          </w:p>
        </w:tc>
      </w:tr>
      <w:tr>
        <w:trPr>
          <w:trHeight w:val="2650"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rPr>
            </w:pPr>
            <w:r>
              <w:rPr>
                <w:rFonts w:eastAsia="Times New Roman" w:cs="Times New Roman" w:ascii="Times New Roman" w:hAnsi="Times New Roman"/>
              </w:rPr>
              <w:t>Справка регионального оператора о формировании фонда капитального ремонта в отношении данного многоквартирного дома, содержащая одно из следующих заключений:</w:t>
            </w:r>
          </w:p>
          <w:p>
            <w:pPr>
              <w:pStyle w:val="ListParagraph"/>
              <w:numPr>
                <w:ilvl w:val="0"/>
                <w:numId w:val="1"/>
              </w:numPr>
              <w:spacing w:before="0" w:after="0"/>
              <w:contextualSpacing/>
              <w:jc w:val="both"/>
              <w:rPr>
                <w:rFonts w:ascii="Times New Roman" w:hAnsi="Times New Roman" w:cs="Times New Roman"/>
              </w:rPr>
            </w:pPr>
            <w:r>
              <w:rPr>
                <w:rFonts w:eastAsia="Times New Roman" w:cs="Times New Roman" w:ascii="Times New Roman" w:hAnsi="Times New Roman"/>
                <w:highlight w:val="white"/>
              </w:rPr>
              <w:t xml:space="preserve">о размере фактических поступлений взносов на капитальный, </w:t>
            </w:r>
            <w:r>
              <w:rPr>
                <w:rFonts w:eastAsia="Times New Roman" w:cs="Times New Roman" w:ascii="Times New Roman" w:hAnsi="Times New Roman"/>
              </w:rPr>
              <w:t>при этом собираемость взносов на капитальный ремонт собственников помещений в многоквартирном доме составляет не менее 95 процентов за весь период их начисления в многоквартирном доме начиная с месяца начисления по месяц, предшествующий месяцу подачи заявления, в соответствии с пунктом 3.2 настоящего Порядка и собираемость взносов на капитальный ремонт администрацией муниципального образования, на территории которого расположен многоквартирный дом, составляет не менее 100 процентов за весь период их начисления администрации муниципального образования начиная с месяца начисления по месяц, предшествующий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shd w:color="auto" w:fill="FFFF00" w:val="clea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 КОПИЯ</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Собираемость:</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Собственники – 93,54%</w:t>
            </w:r>
          </w:p>
          <w:p>
            <w:pPr>
              <w:pStyle w:val="Normal"/>
              <w:spacing w:before="0" w:after="200"/>
              <w:contextualSpacing/>
              <w:rPr>
                <w:rFonts w:ascii="Times New Roman" w:hAnsi="Times New Roman" w:cs="Times New Roman"/>
              </w:rPr>
            </w:pPr>
            <w:r>
              <w:rPr>
                <w:rFonts w:eastAsia="Times New Roman" w:cs="Times New Roman" w:ascii="Times New Roman" w:hAnsi="Times New Roman"/>
                <w:b/>
              </w:rPr>
              <w:t>АМО – 98,15%</w:t>
            </w:r>
          </w:p>
        </w:tc>
      </w:tr>
      <w:tr>
        <w:trPr>
          <w:trHeight w:val="412"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Копии проектно-сметной документации на выполнение работ и(или) услуг по капитальному ремонту общего имущества в многоквартирном доме, разработанной и утвержденной в соответствии с действующим законодательством, или локальные сметные расчеты, составленные по результатам проведенного мониторинга технического состояния многоквартирного дома по видам услуг и(или) работ по капитальному ремонту, по которым подано заявление о переносе срока капитального ремонта на более ранний период (срок), согласованные с региональным оператором;</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rPr>
            </w:pPr>
            <w:r>
              <w:rPr>
                <w:rFonts w:cs="Times New Roman" w:ascii="Times New Roman" w:hAnsi="Times New Roman"/>
              </w:rPr>
            </w:r>
          </w:p>
        </w:tc>
      </w:tr>
      <w:tr>
        <w:trPr>
          <w:trHeight w:val="699"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rPr>
            </w:pPr>
            <w:r>
              <w:rPr>
                <w:rFonts w:eastAsia="Times New Roman" w:cs="Times New Roman" w:ascii="Times New Roman" w:hAnsi="Times New Roman"/>
              </w:rPr>
              <w:t>Справка регионального оператора об отсутствии задолженности собственников помещений в многоквартирном доме за оказанные услуги и(или) выполненные работы по капитальному ремонту общего имущества в многоквартирном доме (за исключением многоквартирных домов, являющихся объектами культурного наследия), непогашенной в течение 15 лет с года, следующего за годом оказания соответствующих услуг и(или) выполнения работ по капитальному ремонту общего имущества в многоквартирном доме, подлежащей погашению за счет фонда капитального ремонта, рассчитанной без учета мер государственной поддержки, предусмотренной статьей 191 Жилищного кодекса Российской Федерации, по состоянию на первое число месяца, предшествующего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highlight w:val="yellow"/>
              </w:rPr>
            </w:pPr>
            <w:r>
              <w:rPr>
                <w:rFonts w:cs="Times New Roman" w:ascii="Times New Roman" w:hAnsi="Times New Roman"/>
                <w:highlight w:val="yellow"/>
              </w:rPr>
            </w:r>
          </w:p>
        </w:tc>
      </w:tr>
    </w:tbl>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cs="Times New Roman"/>
          <w:b/>
        </w:rPr>
      </w:pPr>
      <w:r>
        <w:rPr>
          <w:rFonts w:eastAsia="Times New Roman" w:cs="Times New Roman" w:ascii="Times New Roman" w:hAnsi="Times New Roman"/>
          <w:b/>
        </w:rPr>
        <w:t>Приложение № 6</w:t>
      </w:r>
    </w:p>
    <w:p>
      <w:pPr>
        <w:pStyle w:val="Normal"/>
        <w:jc w:val="center"/>
        <w:rPr>
          <w:rFonts w:ascii="Times New Roman" w:hAnsi="Times New Roman" w:eastAsia="Times New Roman" w:cs="Times New Roman"/>
          <w:b/>
          <w:bCs/>
        </w:rPr>
      </w:pPr>
      <w:r>
        <w:rPr>
          <w:rFonts w:eastAsia="Times New Roman" w:cs="Times New Roman" w:ascii="Times New Roman" w:hAnsi="Times New Roman"/>
          <w:b/>
        </w:rPr>
        <w:t>ООО «Возрождение Тихвин» г. Тихвин /  Тихвинский муниципальный район Ленинградской области</w:t>
      </w:r>
    </w:p>
    <w:p>
      <w:pPr>
        <w:pStyle w:val="Normal"/>
        <w:spacing w:before="240" w:after="200"/>
        <w:contextualSpacing/>
        <w:jc w:val="both"/>
        <w:rPr>
          <w:rFonts w:ascii="Times New Roman" w:hAnsi="Times New Roman" w:cs="Times New Roman"/>
          <w:b/>
          <w:bCs/>
          <w:i/>
          <w:i/>
          <w:iCs/>
          <w:sz w:val="24"/>
          <w:szCs w:val="24"/>
          <w:u w:val="single"/>
        </w:rPr>
      </w:pPr>
      <w:r>
        <w:rPr>
          <w:rFonts w:cs="Times New Roman" w:ascii="Times New Roman" w:hAnsi="Times New Roman"/>
          <w:b/>
          <w:bCs/>
          <w:i/>
          <w:iCs/>
          <w:sz w:val="24"/>
          <w:szCs w:val="24"/>
          <w:u w:val="single"/>
        </w:rPr>
        <w:t>1.3.4. Перенос установленного срока капитального ремонта (отдельных услуг и(или) работ по капитальному ремонту) на более ранний период (срок) в случаях:</w:t>
      </w:r>
    </w:p>
    <w:p>
      <w:pPr>
        <w:pStyle w:val="Normal"/>
        <w:spacing w:before="0" w:after="200"/>
        <w:ind w:right="142"/>
        <w:contextualSpacing/>
        <w:jc w:val="both"/>
        <w:rPr>
          <w:rFonts w:ascii="Times New Roman" w:hAnsi="Times New Roman" w:cs="Times New Roman"/>
          <w:i/>
          <w:i/>
          <w:iCs/>
          <w:u w:val="single"/>
        </w:rPr>
      </w:pPr>
      <w:r>
        <w:rPr>
          <w:rFonts w:cs="Times New Roman" w:ascii="Times New Roman" w:hAnsi="Times New Roman"/>
          <w:i/>
          <w:iCs/>
          <w:u w:val="single"/>
        </w:rPr>
        <w:t>1) установления необходимости проведения капитального ремонта (отдельных видов услуг и(или) работ по капитальному ремонту) в более ранний период (срок), чем предусмотрено региональной программой, в соответствии с настоящим Порядком;</w:t>
      </w:r>
    </w:p>
    <w:p>
      <w:pPr>
        <w:pStyle w:val="Normal"/>
        <w:spacing w:before="0" w:after="200"/>
        <w:ind w:firstLine="540"/>
        <w:contextualSpacing/>
        <w:jc w:val="both"/>
        <w:rPr>
          <w:rFonts w:ascii="Times New Roman" w:hAnsi="Times New Roman" w:cs="Times New Roman"/>
        </w:rPr>
      </w:pPr>
      <w:r>
        <w:rPr>
          <w:rFonts w:cs="Times New Roman" w:ascii="Times New Roman" w:hAnsi="Times New Roman"/>
        </w:rPr>
      </w:r>
    </w:p>
    <w:tbl>
      <w:tblPr>
        <w:tblW w:w="15735"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6"/>
        <w:gridCol w:w="12476"/>
        <w:gridCol w:w="2693"/>
      </w:tblGrid>
      <w:tr>
        <w:trPr>
          <w:trHeight w:val="1587"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rPr>
              <w:t>1.</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contextualSpacing/>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Тихвинский муниципальный район, г. Тихвин, 4 микрорайон, д. 40 </w:t>
            </w:r>
            <w:r>
              <w:rPr>
                <w:rFonts w:eastAsia="Times New Roman" w:cs="Times New Roman" w:ascii="Times New Roman" w:hAnsi="Times New Roman"/>
                <w:sz w:val="24"/>
                <w:szCs w:val="24"/>
              </w:rPr>
              <w:t xml:space="preserve">– перенос срока капитального ремонта крыши (ПИР + СМР), фасада (ПИР+СМР) на 2026-2028 года </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rPr>
              <w:t>Дом 1977 года постройки, 9 этажей</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b/>
                <w:sz w:val="24"/>
                <w:szCs w:val="24"/>
              </w:rPr>
              <w:t xml:space="preserve">Периоды проведения капитального ремонта: </w:t>
            </w:r>
            <w:r>
              <w:rPr>
                <w:rFonts w:eastAsia="Times New Roman" w:cs="Times New Roman" w:ascii="Times New Roman" w:hAnsi="Times New Roman"/>
                <w:bCs/>
                <w:sz w:val="24"/>
                <w:szCs w:val="24"/>
              </w:rPr>
              <w:t>2017-2019 (2017-ПИР Лифт, 2019-Тифт, ТО Лифт), 2020-2022 (2021 – ПИР ТС, ПИР ПУ и УУ), 2023-2025 (2025 – ВДИС ТС, ПУ и УУ), 2032-2034, 2035-2037, 2038-2040, 2041-2043</w:t>
            </w:r>
          </w:p>
          <w:p>
            <w:pPr>
              <w:pStyle w:val="Normal"/>
              <w:spacing w:before="0" w:after="0"/>
              <w:contextualSpacing/>
              <w:jc w:val="both"/>
              <w:rPr>
                <w:rFonts w:ascii="Times New Roman" w:hAnsi="Times New Roman" w:cs="Times New Roman"/>
                <w:b/>
                <w:sz w:val="24"/>
                <w:szCs w:val="24"/>
              </w:rPr>
            </w:pPr>
            <w:r>
              <w:rPr>
                <w:rFonts w:eastAsia="Times New Roman" w:cs="Times New Roman" w:ascii="Times New Roman" w:hAnsi="Times New Roman"/>
                <w:b/>
                <w:sz w:val="24"/>
                <w:szCs w:val="24"/>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протокола общего собрания собственников помещений в многоквартирном доме, содержащего решение общего собрания собственников помещений в многоквартирном доме о переносе установленного региональной программой срока капитального ремонта (срока оказания отдельных услуг и(или) выполнения работ по капитальному ремонту) на более ранний период (срок)</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331"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сведения по форме согласно приложению 6 к настоящему Порядку</w:t>
            </w:r>
          </w:p>
          <w:p>
            <w:pPr>
              <w:pStyle w:val="Normal"/>
              <w:spacing w:before="0" w:after="200"/>
              <w:contextualSpacing/>
              <w:jc w:val="both"/>
              <w:rPr>
                <w:rFonts w:ascii="Times New Roman" w:hAnsi="Times New Roman" w:cs="Times New Roman"/>
              </w:rPr>
            </w:pPr>
            <w:r>
              <w:rPr>
                <w:rFonts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В наличии </w:t>
            </w:r>
          </w:p>
        </w:tc>
      </w:tr>
      <w:tr>
        <w:trPr>
          <w:trHeight w:val="1136"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заключения специализированной организации, проводившей техническое обследование многоквартирного дома, включенного в региональную программу, оформленного не ранее чем за три года до даты подачи заявления, предусмотренного пунктом 3.2 настоящего Порядка, с указанием степени износа конструктивных элементов или внутридомовых инженерных систем в многоквартирном доме;</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r>
          </w:p>
        </w:tc>
      </w:tr>
      <w:tr>
        <w:trPr>
          <w:trHeight w:val="2650"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rPr>
            </w:pPr>
            <w:r>
              <w:rPr>
                <w:rFonts w:eastAsia="Times New Roman" w:cs="Times New Roman" w:ascii="Times New Roman" w:hAnsi="Times New Roman"/>
              </w:rPr>
              <w:t>Справка регионального оператора о формировании фонда капитального ремонта в отношении данного многоквартирного дома, содержащая одно из следующих заключений:</w:t>
            </w:r>
          </w:p>
          <w:p>
            <w:pPr>
              <w:pStyle w:val="ListParagraph"/>
              <w:numPr>
                <w:ilvl w:val="0"/>
                <w:numId w:val="1"/>
              </w:numPr>
              <w:spacing w:before="0" w:after="0"/>
              <w:contextualSpacing/>
              <w:jc w:val="both"/>
              <w:rPr>
                <w:rFonts w:ascii="Times New Roman" w:hAnsi="Times New Roman" w:cs="Times New Roman"/>
              </w:rPr>
            </w:pPr>
            <w:r>
              <w:rPr>
                <w:rFonts w:eastAsia="Times New Roman" w:cs="Times New Roman" w:ascii="Times New Roman" w:hAnsi="Times New Roman"/>
                <w:highlight w:val="white"/>
              </w:rPr>
              <w:t xml:space="preserve">о размере фактических поступлений взносов на капитальный, </w:t>
            </w:r>
            <w:r>
              <w:rPr>
                <w:rFonts w:eastAsia="Times New Roman" w:cs="Times New Roman" w:ascii="Times New Roman" w:hAnsi="Times New Roman"/>
              </w:rPr>
              <w:t>при этом собираемость взносов на капитальный ремонт собственников помещений в многоквартирном доме составляет не менее 95 процентов за весь период их начисления в многоквартирном доме начиная с месяца начисления по месяц, предшествующий месяцу подачи заявления, в соответствии с пунктом 3.2 настоящего Порядка и собираемость взносов на капитальный ремонт администрацией муниципального образования, на территории которого расположен многоквартирный дом, составляет не менее 100 процентов за весь период их начисления администрации муниципального образования начиная с месяца начисления по месяц, предшествующий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В наличии </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Собираемость:</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Собственники – 95,83%</w:t>
            </w:r>
          </w:p>
          <w:p>
            <w:pPr>
              <w:pStyle w:val="Normal"/>
              <w:spacing w:before="0" w:after="200"/>
              <w:contextualSpacing/>
              <w:rPr>
                <w:rFonts w:ascii="Times New Roman" w:hAnsi="Times New Roman" w:cs="Times New Roman"/>
              </w:rPr>
            </w:pPr>
            <w:r>
              <w:rPr>
                <w:rFonts w:eastAsia="Times New Roman" w:cs="Times New Roman" w:ascii="Times New Roman" w:hAnsi="Times New Roman"/>
                <w:b/>
              </w:rPr>
              <w:t>АМО – 100,81%</w:t>
            </w:r>
          </w:p>
        </w:tc>
      </w:tr>
      <w:tr>
        <w:trPr>
          <w:trHeight w:val="412"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Копии проектно-сметной документации на выполнение работ и(или) услуг по капитальному ремонту общего имущества в многоквартирном доме, разработанной и утвержденной в соответствии с действующим законодательством, или локальные сметные расчеты, составленные по результатам проведенного мониторинга технического состояния многоквартирного дома по видам услуг и(или) работ по капитальному ремонту, по которым подано заявление о переносе срока капитального ремонта на более ранний период (срок), согласованные с региональным оператором;</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rPr>
            </w:pPr>
            <w:r>
              <w:rPr>
                <w:rFonts w:cs="Times New Roman" w:ascii="Times New Roman" w:hAnsi="Times New Roman"/>
              </w:rPr>
            </w:r>
          </w:p>
        </w:tc>
      </w:tr>
      <w:tr>
        <w:trPr>
          <w:trHeight w:val="699"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rPr>
            </w:pPr>
            <w:r>
              <w:rPr>
                <w:rFonts w:eastAsia="Times New Roman" w:cs="Times New Roman" w:ascii="Times New Roman" w:hAnsi="Times New Roman"/>
              </w:rPr>
              <w:t>Справка регионального оператора об отсутствии задолженности собственников помещений в многоквартирном доме за оказанные услуги и(или) выполненные работы по капитальному ремонту общего имущества в многоквартирном доме (за исключением многоквартирных домов, являющихся объектами культурного наследия), непогашенной в течение 15 лет с года, следующего за годом оказания соответствующих услуг и(или) выполнения работ по капитальному ремонту общего имущества в многоквартирном доме, подлежащей погашению за счет фонда капитального ремонта, рассчитанной без учета мер государственной поддержки, предусмотренной статьей 191 Жилищного кодекса Российской Федерации, по состоянию на первое число месяца, предшествующего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highlight w:val="yellow"/>
              </w:rPr>
            </w:pPr>
            <w:r>
              <w:rPr>
                <w:rFonts w:cs="Times New Roman" w:ascii="Times New Roman" w:hAnsi="Times New Roman"/>
                <w:highlight w:val="yellow"/>
              </w:rPr>
            </w:r>
          </w:p>
        </w:tc>
      </w:tr>
    </w:tbl>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cs="Times New Roman"/>
          <w:b/>
        </w:rPr>
      </w:pPr>
      <w:r>
        <w:rPr>
          <w:rFonts w:eastAsia="Times New Roman" w:cs="Times New Roman" w:ascii="Times New Roman" w:hAnsi="Times New Roman"/>
          <w:b/>
        </w:rPr>
        <w:t>Приложение № 7</w:t>
      </w:r>
    </w:p>
    <w:p>
      <w:pPr>
        <w:pStyle w:val="Normal"/>
        <w:jc w:val="center"/>
        <w:rPr>
          <w:rFonts w:ascii="Times New Roman" w:hAnsi="Times New Roman" w:eastAsia="Times New Roman" w:cs="Times New Roman"/>
          <w:b/>
          <w:bCs/>
        </w:rPr>
      </w:pPr>
      <w:r>
        <w:rPr>
          <w:rFonts w:eastAsia="Times New Roman" w:cs="Times New Roman" w:ascii="Times New Roman" w:hAnsi="Times New Roman"/>
          <w:b/>
        </w:rPr>
        <w:t>Администрация муниципального образования Глажевского сельского поселения Киришского муниципального района Ленинградской области</w:t>
      </w:r>
    </w:p>
    <w:p>
      <w:pPr>
        <w:pStyle w:val="Normal"/>
        <w:spacing w:before="240" w:after="200"/>
        <w:contextualSpacing/>
        <w:jc w:val="both"/>
        <w:rPr>
          <w:rFonts w:ascii="Times New Roman" w:hAnsi="Times New Roman" w:cs="Times New Roman"/>
          <w:b/>
          <w:bCs/>
          <w:i/>
          <w:i/>
          <w:iCs/>
          <w:sz w:val="24"/>
          <w:szCs w:val="24"/>
          <w:u w:val="single"/>
        </w:rPr>
      </w:pPr>
      <w:r>
        <w:rPr>
          <w:rFonts w:cs="Times New Roman" w:ascii="Times New Roman" w:hAnsi="Times New Roman"/>
          <w:b/>
          <w:bCs/>
          <w:i/>
          <w:iCs/>
          <w:sz w:val="24"/>
          <w:szCs w:val="24"/>
          <w:u w:val="single"/>
        </w:rPr>
        <w:t>1.3.4. Перенос установленного срока капитального ремонта (отдельных услуг и(или) работ по капитальному ремонту) на более ранний период (срок) в случаях:</w:t>
      </w:r>
    </w:p>
    <w:p>
      <w:pPr>
        <w:pStyle w:val="Normal"/>
        <w:spacing w:before="0" w:after="200"/>
        <w:ind w:right="142"/>
        <w:contextualSpacing/>
        <w:jc w:val="both"/>
        <w:rPr>
          <w:rFonts w:ascii="Times New Roman" w:hAnsi="Times New Roman" w:cs="Times New Roman"/>
          <w:i/>
          <w:i/>
          <w:iCs/>
          <w:u w:val="single"/>
        </w:rPr>
      </w:pPr>
      <w:r>
        <w:rPr>
          <w:rFonts w:cs="Times New Roman" w:ascii="Times New Roman" w:hAnsi="Times New Roman"/>
          <w:i/>
          <w:iCs/>
          <w:u w:val="single"/>
        </w:rPr>
        <w:t>1) установления необходимости проведения капитального ремонта (отдельных видов услуг и(или) работ по капитальному ремонту) в более ранний период (срок), чем предусмотрено региональной программой, в соответствии с настоящим Порядком;</w:t>
      </w:r>
    </w:p>
    <w:p>
      <w:pPr>
        <w:pStyle w:val="Normal"/>
        <w:spacing w:before="0" w:after="200"/>
        <w:ind w:firstLine="540"/>
        <w:contextualSpacing/>
        <w:jc w:val="both"/>
        <w:rPr>
          <w:rFonts w:ascii="Times New Roman" w:hAnsi="Times New Roman" w:cs="Times New Roman"/>
        </w:rPr>
      </w:pPr>
      <w:r>
        <w:rPr>
          <w:rFonts w:cs="Times New Roman" w:ascii="Times New Roman" w:hAnsi="Times New Roman"/>
        </w:rPr>
      </w:r>
    </w:p>
    <w:tbl>
      <w:tblPr>
        <w:tblW w:w="15735"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6"/>
        <w:gridCol w:w="12476"/>
        <w:gridCol w:w="2693"/>
      </w:tblGrid>
      <w:tr>
        <w:trPr>
          <w:trHeight w:val="1587"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rPr>
              <w:t>1.</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contextualSpacing/>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Киришский муниципальный район, п. Глажево, д. 6 </w:t>
            </w:r>
            <w:r>
              <w:rPr>
                <w:rFonts w:eastAsia="Times New Roman" w:cs="Times New Roman" w:ascii="Times New Roman" w:hAnsi="Times New Roman"/>
                <w:sz w:val="24"/>
                <w:szCs w:val="24"/>
              </w:rPr>
              <w:t xml:space="preserve">– перенос срока капитального ремонта крыши (СМР) на 2026-2028 года </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rPr>
              <w:t>Дом 1977 года постройки, 9 этажей</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b/>
                <w:sz w:val="24"/>
                <w:szCs w:val="24"/>
              </w:rPr>
              <w:t xml:space="preserve">Периоды проведения капитального ремонта: </w:t>
            </w:r>
            <w:r>
              <w:rPr>
                <w:rFonts w:eastAsia="Times New Roman" w:cs="Times New Roman" w:ascii="Times New Roman" w:hAnsi="Times New Roman"/>
                <w:bCs/>
                <w:sz w:val="24"/>
                <w:szCs w:val="24"/>
              </w:rPr>
              <w:t>2020-2022 (2021 – ПИР Крыши), 2029-2031, 2035-2037, 2038-2040, 2041-2043</w:t>
            </w:r>
          </w:p>
          <w:p>
            <w:pPr>
              <w:pStyle w:val="Normal"/>
              <w:spacing w:before="0" w:after="0"/>
              <w:contextualSpacing/>
              <w:jc w:val="both"/>
              <w:rPr>
                <w:rFonts w:ascii="Times New Roman" w:hAnsi="Times New Roman" w:cs="Times New Roman"/>
                <w:b/>
                <w:sz w:val="24"/>
                <w:szCs w:val="24"/>
              </w:rPr>
            </w:pPr>
            <w:r>
              <w:rPr>
                <w:rFonts w:eastAsia="Times New Roman" w:cs="Times New Roman" w:ascii="Times New Roman" w:hAnsi="Times New Roman"/>
                <w:b/>
                <w:sz w:val="24"/>
                <w:szCs w:val="24"/>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протокола общего собрания собственников помещений в многоквартирном доме, содержащего решение общего собрания собственников помещений в многоквартирном доме о переносе установленного региональной программой срока капитального ремонта (срока оказания отдельных услуг и(или) выполнения работ по капитальному ремонту) на более ранний период (срок)</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сведения по форме согласно приложению 6 к настоящему Порядку</w:t>
            </w:r>
          </w:p>
          <w:p>
            <w:pPr>
              <w:pStyle w:val="Normal"/>
              <w:spacing w:before="0" w:after="200"/>
              <w:contextualSpacing/>
              <w:jc w:val="both"/>
              <w:rPr>
                <w:rFonts w:ascii="Times New Roman" w:hAnsi="Times New Roman" w:cs="Times New Roman"/>
              </w:rPr>
            </w:pPr>
            <w:r>
              <w:rPr>
                <w:rFonts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В наличии </w:t>
            </w:r>
          </w:p>
          <w:p>
            <w:pPr>
              <w:pStyle w:val="Normal"/>
              <w:spacing w:before="0" w:after="200"/>
              <w:contextualSpacing/>
              <w:jc w:val="both"/>
              <w:rPr>
                <w:rFonts w:ascii="Times New Roman" w:hAnsi="Times New Roman" w:cs="Times New Roman"/>
              </w:rPr>
            </w:pPr>
            <w:r>
              <w:rPr>
                <w:rFonts w:cs="Times New Roman" w:ascii="Times New Roman" w:hAnsi="Times New Roman"/>
              </w:rPr>
            </w:r>
          </w:p>
        </w:tc>
      </w:tr>
      <w:tr>
        <w:trPr>
          <w:trHeight w:val="1136"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заключения специализированной организации, проводившей техническое обследование многоквартирного дома, включенного в региональную программу, оформленного не ранее чем за три года до даты подачи заявления, предусмотренного пунктом 3.2 настоящего Порядка, с указанием степени износа конструктивных элементов или внутридомовых инженерных систем в многоквартирном доме;</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r>
          </w:p>
        </w:tc>
      </w:tr>
      <w:tr>
        <w:trPr>
          <w:trHeight w:val="2650"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rPr>
            </w:pPr>
            <w:r>
              <w:rPr>
                <w:rFonts w:eastAsia="Times New Roman" w:cs="Times New Roman" w:ascii="Times New Roman" w:hAnsi="Times New Roman"/>
              </w:rPr>
              <w:t>Справка регионального оператора о формировании фонда капитального ремонта в отношении данного многоквартирного дома, содержащая одно из следующих заключений:</w:t>
            </w:r>
          </w:p>
          <w:p>
            <w:pPr>
              <w:pStyle w:val="ListParagraph"/>
              <w:numPr>
                <w:ilvl w:val="0"/>
                <w:numId w:val="1"/>
              </w:numPr>
              <w:spacing w:before="0" w:after="0"/>
              <w:contextualSpacing/>
              <w:jc w:val="both"/>
              <w:rPr>
                <w:rFonts w:ascii="Times New Roman" w:hAnsi="Times New Roman" w:cs="Times New Roman"/>
              </w:rPr>
            </w:pPr>
            <w:r>
              <w:rPr>
                <w:rFonts w:eastAsia="Times New Roman" w:cs="Times New Roman" w:ascii="Times New Roman" w:hAnsi="Times New Roman"/>
                <w:highlight w:val="white"/>
              </w:rPr>
              <w:t xml:space="preserve">о размере фактических поступлений взносов на капитальный, </w:t>
            </w:r>
            <w:r>
              <w:rPr>
                <w:rFonts w:eastAsia="Times New Roman" w:cs="Times New Roman" w:ascii="Times New Roman" w:hAnsi="Times New Roman"/>
              </w:rPr>
              <w:t>при этом собираемость взносов на капитальный ремонт собственников помещений в многоквартирном доме составляет не менее 95 процентов за весь период их начисления в многоквартирном доме начиная с месяца начисления по месяц, предшествующий месяцу подачи заявления, в соответствии с пунктом 3.2 настоящего Порядка и собираемость взносов на капитальный ремонт администрацией муниципального образования, на территории которого расположен многоквартирный дом, составляет не менее 100 процентов за весь период их начисления администрации муниципального образования начиная с месяца начисления по месяц, предшествующий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В наличии </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Собственники – 95,60%</w:t>
            </w:r>
          </w:p>
          <w:p>
            <w:pPr>
              <w:pStyle w:val="Normal"/>
              <w:spacing w:before="0" w:after="200"/>
              <w:contextualSpacing/>
              <w:rPr>
                <w:rFonts w:ascii="Times New Roman" w:hAnsi="Times New Roman" w:cs="Times New Roman"/>
              </w:rPr>
            </w:pPr>
            <w:r>
              <w:rPr>
                <w:rFonts w:eastAsia="Times New Roman" w:cs="Times New Roman" w:ascii="Times New Roman" w:hAnsi="Times New Roman"/>
                <w:b/>
              </w:rPr>
              <w:t>АМО – 100,00%</w:t>
            </w:r>
          </w:p>
        </w:tc>
      </w:tr>
      <w:tr>
        <w:trPr>
          <w:trHeight w:val="412"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Копии проектно-сметной документации на выполнение работ и(или) услуг по капитальному ремонту общего имущества в многоквартирном доме, разработанной и утвержденной в соответствии с действующим законодательством, или локальные сметные расчеты, составленные по результатам проведенного мониторинга технического состояния многоквартирного дома по видам услуг и(или) работ по капитальному ремонту, по которым подано заявление о переносе срока капитального ремонта на более ранний период (срок), согласованные с региональным оператором;</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 xml:space="preserve">В наличии </w:t>
            </w:r>
          </w:p>
          <w:p>
            <w:pPr>
              <w:pStyle w:val="Normal"/>
              <w:spacing w:before="0" w:after="200"/>
              <w:contextualSpacing/>
              <w:jc w:val="both"/>
              <w:rPr>
                <w:rFonts w:ascii="Times New Roman" w:hAnsi="Times New Roman" w:cs="Times New Roman"/>
              </w:rPr>
            </w:pPr>
            <w:r>
              <w:rPr>
                <w:rFonts w:cs="Times New Roman" w:ascii="Times New Roman" w:hAnsi="Times New Roman"/>
              </w:rPr>
            </w:r>
          </w:p>
        </w:tc>
      </w:tr>
      <w:tr>
        <w:trPr>
          <w:trHeight w:val="699"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rPr>
            </w:pPr>
            <w:r>
              <w:rPr>
                <w:rFonts w:eastAsia="Times New Roman" w:cs="Times New Roman" w:ascii="Times New Roman" w:hAnsi="Times New Roman"/>
              </w:rPr>
              <w:t>Справка регионального оператора об отсутствии задолженности собственников помещений в многоквартирном доме за оказанные услуги и(или) выполненные работы по капитальному ремонту общего имущества в многоквартирном доме (за исключением многоквартирных домов, являющихся объектами культурного наследия), непогашенной в течение 15 лет с года, следующего за годом оказания соответствующих услуг и(или) выполнения работ по капитальному ремонту общего имущества в многоквартирном доме, подлежащей погашению за счет фонда капитального ремонта, рассчитанной без учета мер государственной поддержки, предусмотренной статьей 191 Жилищного кодекса Российской Федерации, по состоянию на первое число месяца, предшествующего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highlight w:val="yellow"/>
              </w:rPr>
            </w:pPr>
            <w:r>
              <w:rPr>
                <w:rFonts w:cs="Times New Roman" w:ascii="Times New Roman" w:hAnsi="Times New Roman"/>
                <w:highlight w:val="yellow"/>
              </w:rPr>
            </w:r>
          </w:p>
        </w:tc>
      </w:tr>
    </w:tbl>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center"/>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cs="Times New Roman"/>
          <w:b/>
        </w:rPr>
      </w:pPr>
      <w:r>
        <w:rPr>
          <w:rFonts w:eastAsia="Times New Roman" w:cs="Times New Roman" w:ascii="Times New Roman" w:hAnsi="Times New Roman"/>
          <w:b/>
        </w:rPr>
        <w:t>Приложение № 8</w:t>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t>Администрация Выборгского муниципального района Ленинградской области</w:t>
      </w:r>
    </w:p>
    <w:p>
      <w:pPr>
        <w:pStyle w:val="Normal"/>
        <w:spacing w:before="240" w:after="200"/>
        <w:contextualSpacing/>
        <w:jc w:val="both"/>
        <w:rPr>
          <w:rFonts w:ascii="Times New Roman" w:hAnsi="Times New Roman" w:cs="Times New Roman"/>
          <w:b/>
          <w:bCs/>
          <w:i/>
          <w:i/>
          <w:iCs/>
          <w:sz w:val="24"/>
          <w:szCs w:val="24"/>
          <w:u w:val="single"/>
        </w:rPr>
      </w:pPr>
      <w:r>
        <w:rPr>
          <w:rFonts w:cs="Times New Roman" w:ascii="Times New Roman" w:hAnsi="Times New Roman"/>
          <w:b/>
          <w:bCs/>
          <w:i/>
          <w:iCs/>
          <w:sz w:val="24"/>
          <w:szCs w:val="24"/>
          <w:u w:val="single"/>
        </w:rPr>
        <w:t>1.3.4. Перенос установленного срока капитального ремонта (отдельных услуг и(или) работ по капитальному ремонту) на более ранний период (срок) в случаях:</w:t>
      </w:r>
    </w:p>
    <w:p>
      <w:pPr>
        <w:pStyle w:val="Normal"/>
        <w:spacing w:before="0" w:after="200"/>
        <w:ind w:right="142"/>
        <w:contextualSpacing/>
        <w:jc w:val="both"/>
        <w:rPr>
          <w:rFonts w:ascii="Times New Roman" w:hAnsi="Times New Roman" w:cs="Times New Roman"/>
          <w:i/>
          <w:i/>
          <w:iCs/>
          <w:u w:val="single"/>
        </w:rPr>
      </w:pPr>
      <w:r>
        <w:rPr>
          <w:rFonts w:cs="Times New Roman" w:ascii="Times New Roman" w:hAnsi="Times New Roman"/>
          <w:i/>
          <w:iCs/>
          <w:u w:val="single"/>
        </w:rPr>
        <w:t>1) установления необходимости проведения капитального ремонта (отдельных видов услуг и(или) работ по капитальному ремонту) в более ранний период (срок), чем предусмотрено региональной программой, в соответствии с настоящим Порядком;</w:t>
      </w:r>
    </w:p>
    <w:p>
      <w:pPr>
        <w:pStyle w:val="Normal"/>
        <w:spacing w:before="0" w:after="200"/>
        <w:ind w:firstLine="540"/>
        <w:contextualSpacing/>
        <w:jc w:val="both"/>
        <w:rPr>
          <w:rFonts w:ascii="Times New Roman" w:hAnsi="Times New Roman" w:cs="Times New Roman"/>
        </w:rPr>
      </w:pPr>
      <w:r>
        <w:rPr>
          <w:rFonts w:cs="Times New Roman" w:ascii="Times New Roman" w:hAnsi="Times New Roman"/>
        </w:rPr>
      </w:r>
    </w:p>
    <w:tbl>
      <w:tblPr>
        <w:tblW w:w="15735"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6"/>
        <w:gridCol w:w="12476"/>
        <w:gridCol w:w="2693"/>
      </w:tblGrid>
      <w:tr>
        <w:trPr>
          <w:trHeight w:val="1587"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rPr>
              <w:t>1.</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contextualSpacing/>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Выборгский муниципальный район, г. Выборг, ул. Железнодорожная, д. 9/15 </w:t>
            </w:r>
            <w:r>
              <w:rPr>
                <w:rFonts w:eastAsia="Times New Roman" w:cs="Times New Roman" w:ascii="Times New Roman" w:hAnsi="Times New Roman"/>
                <w:sz w:val="24"/>
                <w:szCs w:val="24"/>
              </w:rPr>
              <w:t xml:space="preserve">– перенос срока капитального ремонта фасада СМР + ПИР на 2026-2028 года </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rPr>
              <w:t>Дом 1959 года постройки, 5 этажей</w:t>
            </w:r>
          </w:p>
          <w:p>
            <w:pPr>
              <w:pStyle w:val="Normal"/>
              <w:spacing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
                <w:sz w:val="24"/>
                <w:szCs w:val="24"/>
              </w:rPr>
              <w:t xml:space="preserve">Периоды проведения капитального ремонта: </w:t>
            </w:r>
            <w:r>
              <w:rPr>
                <w:rFonts w:eastAsia="Times New Roman" w:cs="Times New Roman" w:ascii="Times New Roman" w:hAnsi="Times New Roman"/>
                <w:bCs/>
                <w:sz w:val="24"/>
                <w:szCs w:val="24"/>
              </w:rPr>
              <w:t>2026-2028(2027 – Крыша (ПИР+СМР), Фундамент (ПИР+СМР)),</w:t>
              <w:br/>
              <w:t xml:space="preserve"> 2029-2031, 2035-2037.</w:t>
            </w:r>
          </w:p>
          <w:p>
            <w:pPr>
              <w:pStyle w:val="Normal"/>
              <w:spacing w:before="0" w:after="0"/>
              <w:contextualSpacing/>
              <w:jc w:val="both"/>
              <w:rPr>
                <w:rFonts w:ascii="Times New Roman" w:hAnsi="Times New Roman" w:cs="Times New Roman"/>
                <w:b/>
                <w:sz w:val="24"/>
                <w:szCs w:val="24"/>
              </w:rPr>
            </w:pPr>
            <w:r>
              <w:rPr>
                <w:rFonts w:eastAsia="Times New Roman" w:cs="Times New Roman" w:ascii="Times New Roman" w:hAnsi="Times New Roman"/>
                <w:b/>
                <w:sz w:val="24"/>
                <w:szCs w:val="24"/>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протокола общего собрания собственников помещений в многоквартирном доме, содержащего решение общего собрания собственников помещений в многоквартирном доме о переносе установленного региональной программой срока капитального ремонта (срока оказания отдельных услуг и(или) выполнения работ по капитальному ремонту) на более ранний период (срок)</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сведения по форме согласно приложению 6 к настоящему Порядку</w:t>
            </w:r>
          </w:p>
          <w:p>
            <w:pPr>
              <w:pStyle w:val="Normal"/>
              <w:spacing w:before="0" w:after="200"/>
              <w:contextualSpacing/>
              <w:jc w:val="both"/>
              <w:rPr>
                <w:rFonts w:ascii="Times New Roman" w:hAnsi="Times New Roman" w:cs="Times New Roman"/>
              </w:rPr>
            </w:pPr>
            <w:r>
              <w:rPr>
                <w:rFonts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В наличии </w:t>
            </w:r>
          </w:p>
          <w:p>
            <w:pPr>
              <w:pStyle w:val="Normal"/>
              <w:spacing w:before="0" w:after="200"/>
              <w:contextualSpacing/>
              <w:jc w:val="both"/>
              <w:rPr>
                <w:rFonts w:ascii="Times New Roman" w:hAnsi="Times New Roman" w:cs="Times New Roman"/>
              </w:rPr>
            </w:pPr>
            <w:r>
              <w:rPr>
                <w:rFonts w:cs="Times New Roman" w:ascii="Times New Roman" w:hAnsi="Times New Roman"/>
              </w:rPr>
            </w:r>
          </w:p>
        </w:tc>
      </w:tr>
      <w:tr>
        <w:trPr>
          <w:trHeight w:val="1136"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заключения специализированной организации, проводившей техническое обследование многоквартирного дома, включенного в региональную программу, оформленного не ранее чем за три года до даты подачи заявления, предусмотренного пунктом 3.2 настоящего Порядка, с указанием степени износа конструктивных элементов или внутридомовых инженерных систем в многоквартирном доме;</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r>
          </w:p>
        </w:tc>
      </w:tr>
      <w:tr>
        <w:trPr>
          <w:trHeight w:val="2650"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rPr>
            </w:pPr>
            <w:r>
              <w:rPr>
                <w:rFonts w:eastAsia="Times New Roman" w:cs="Times New Roman" w:ascii="Times New Roman" w:hAnsi="Times New Roman"/>
              </w:rPr>
              <w:t>Справка регионального оператора о формировании фонда капитального ремонта в отношении данного многоквартирного дома, содержащая одно из следующих заключений:</w:t>
            </w:r>
          </w:p>
          <w:p>
            <w:pPr>
              <w:pStyle w:val="ListParagraph"/>
              <w:numPr>
                <w:ilvl w:val="0"/>
                <w:numId w:val="1"/>
              </w:numPr>
              <w:spacing w:before="0" w:after="0"/>
              <w:contextualSpacing/>
              <w:jc w:val="both"/>
              <w:rPr>
                <w:rFonts w:ascii="Times New Roman" w:hAnsi="Times New Roman" w:cs="Times New Roman"/>
              </w:rPr>
            </w:pPr>
            <w:r>
              <w:rPr>
                <w:rFonts w:eastAsia="Times New Roman" w:cs="Times New Roman" w:ascii="Times New Roman" w:hAnsi="Times New Roman"/>
                <w:highlight w:val="white"/>
              </w:rPr>
              <w:t xml:space="preserve">о размере фактических поступлений взносов на капитальный, </w:t>
            </w:r>
            <w:r>
              <w:rPr>
                <w:rFonts w:eastAsia="Times New Roman" w:cs="Times New Roman" w:ascii="Times New Roman" w:hAnsi="Times New Roman"/>
              </w:rPr>
              <w:t>при этом собираемость взносов на капитальный ремонт собственников помещений в многоквартирном доме составляет не менее 95 процентов за весь период их начисления в многоквартирном доме начиная с месяца начисления по месяц, предшествующий месяцу подачи заявления, в соответствии с пунктом 3.2 настоящего Порядка и собираемость взносов на капитальный ремонт администрацией муниципального образования, на территории которого расположен многоквартирный дом, составляет не менее 100 процентов за весь период их начисления администрации муниципального образования начиная с месяца начисления по месяц, предшествующий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В наличии </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Собственники – 95,16%</w:t>
            </w:r>
          </w:p>
          <w:p>
            <w:pPr>
              <w:pStyle w:val="Normal"/>
              <w:spacing w:before="0" w:after="200"/>
              <w:contextualSpacing/>
              <w:rPr>
                <w:rFonts w:ascii="Times New Roman" w:hAnsi="Times New Roman" w:cs="Times New Roman"/>
              </w:rPr>
            </w:pPr>
            <w:r>
              <w:rPr>
                <w:rFonts w:eastAsia="Times New Roman" w:cs="Times New Roman" w:ascii="Times New Roman" w:hAnsi="Times New Roman"/>
                <w:b/>
              </w:rPr>
              <w:t>АМО – 100,00%</w:t>
            </w:r>
          </w:p>
        </w:tc>
      </w:tr>
      <w:tr>
        <w:trPr>
          <w:trHeight w:val="412"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Копии проектно-сметной документации на выполнение работ и(или) услуг по капитальному ремонту общего имущества в многоквартирном доме, разработанной и утвержденной в соответствии с действующим законодательством, или локальные сметные расчеты, составленные по результатам проведенного мониторинга технического состояния многоквартирного дома по видам услуг и(или) работ по капитальному ремонту, по которым подано заявление о переносе срока капитального ремонта на более ранний период (срок), согласованные с региональным оператором;</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 xml:space="preserve">В наличии </w:t>
            </w:r>
          </w:p>
        </w:tc>
      </w:tr>
      <w:tr>
        <w:trPr>
          <w:trHeight w:val="699"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rPr>
            </w:pPr>
            <w:r>
              <w:rPr>
                <w:rFonts w:eastAsia="Times New Roman" w:cs="Times New Roman" w:ascii="Times New Roman" w:hAnsi="Times New Roman"/>
              </w:rPr>
              <w:t>Справка регионального оператора об отсутствии задолженности собственников помещений в многоквартирном доме за оказанные услуги и(или) выполненные работы по капитальному ремонту общего имущества в многоквартирном доме (за исключением многоквартирных домов, являющихся объектами культурного наследия), непогашенной в течение 15 лет с года, следующего за годом оказания соответствующих услуг и(или) выполнения работ по капитальному ремонту общего имущества в многоквартирном доме, подлежащей погашению за счет фонда капитального ремонта, рассчитанной без учета мер государственной поддержки, предусмотренной статьей 191 Жилищного кодекса Российской Федерации, по состоянию на первое число месяца, предшествующего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highlight w:val="yellow"/>
              </w:rPr>
            </w:pPr>
            <w:r>
              <w:rPr>
                <w:rFonts w:cs="Times New Roman" w:ascii="Times New Roman" w:hAnsi="Times New Roman"/>
                <w:highlight w:val="yellow"/>
              </w:rPr>
            </w:r>
          </w:p>
        </w:tc>
      </w:tr>
    </w:tbl>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spacing w:lineRule="auto" w:line="240"/>
        <w:jc w:val="right"/>
        <w:rPr>
          <w:rFonts w:ascii="Times New Roman" w:hAnsi="Times New Roman" w:cs="Times New Roman"/>
          <w:b/>
        </w:rPr>
      </w:pPr>
      <w:r>
        <w:rPr>
          <w:rFonts w:eastAsia="Times New Roman" w:cs="Times New Roman" w:ascii="Times New Roman" w:hAnsi="Times New Roman"/>
          <w:b/>
        </w:rPr>
        <w:t>Приложение № 9</w:t>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t>Администрация муниципального образования Свирицкое сельское поселение Волховского муниципального района Ленинградской области</w:t>
      </w:r>
    </w:p>
    <w:p>
      <w:pPr>
        <w:pStyle w:val="Normal"/>
        <w:spacing w:before="240" w:after="200"/>
        <w:contextualSpacing/>
        <w:jc w:val="both"/>
        <w:rPr>
          <w:rFonts w:ascii="Times New Roman" w:hAnsi="Times New Roman" w:cs="Times New Roman"/>
          <w:b/>
          <w:bCs/>
          <w:i/>
          <w:i/>
          <w:iCs/>
          <w:sz w:val="24"/>
          <w:szCs w:val="24"/>
          <w:u w:val="single"/>
        </w:rPr>
      </w:pPr>
      <w:r>
        <w:rPr>
          <w:rFonts w:cs="Times New Roman" w:ascii="Times New Roman" w:hAnsi="Times New Roman"/>
          <w:b/>
          <w:bCs/>
          <w:i/>
          <w:iCs/>
          <w:sz w:val="24"/>
          <w:szCs w:val="24"/>
          <w:u w:val="single"/>
        </w:rPr>
        <w:t>1.3.4. Перенос установленного срока капитального ремонта (отдельных услуг и(или) работ по капитальному ремонту) на более ранний период (срок) в случаях:</w:t>
      </w:r>
    </w:p>
    <w:p>
      <w:pPr>
        <w:pStyle w:val="Normal"/>
        <w:spacing w:before="0" w:after="200"/>
        <w:ind w:right="142"/>
        <w:contextualSpacing/>
        <w:jc w:val="both"/>
        <w:rPr>
          <w:rFonts w:ascii="Times New Roman" w:hAnsi="Times New Roman" w:cs="Times New Roman"/>
          <w:i/>
          <w:i/>
          <w:iCs/>
          <w:u w:val="single"/>
        </w:rPr>
      </w:pPr>
      <w:r>
        <w:rPr>
          <w:rFonts w:cs="Times New Roman" w:ascii="Times New Roman" w:hAnsi="Times New Roman"/>
          <w:i/>
          <w:iCs/>
          <w:u w:val="single"/>
        </w:rPr>
        <w:t>1) установления необходимости проведения капитального ремонта (отдельных видов услуг и(или) работ по капитальному ремонту) в более ранний период (срок), чем предусмотрено региональной программой, в соответствии с настоящим Порядком;</w:t>
      </w:r>
    </w:p>
    <w:p>
      <w:pPr>
        <w:pStyle w:val="Normal"/>
        <w:spacing w:before="0" w:after="200"/>
        <w:ind w:firstLine="540"/>
        <w:contextualSpacing/>
        <w:jc w:val="both"/>
        <w:rPr>
          <w:rFonts w:ascii="Times New Roman" w:hAnsi="Times New Roman" w:cs="Times New Roman"/>
        </w:rPr>
      </w:pPr>
      <w:r>
        <w:rPr>
          <w:rFonts w:cs="Times New Roman" w:ascii="Times New Roman" w:hAnsi="Times New Roman"/>
        </w:rPr>
      </w:r>
    </w:p>
    <w:tbl>
      <w:tblPr>
        <w:tblW w:w="15735"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6"/>
        <w:gridCol w:w="12476"/>
        <w:gridCol w:w="2693"/>
      </w:tblGrid>
      <w:tr>
        <w:trPr>
          <w:trHeight w:val="1587"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rPr>
              <w:t>1.</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contextualSpacing/>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Волховский муниципальный район, п. Свирица, ул. Старая Свирица, д. 9а </w:t>
            </w:r>
            <w:r>
              <w:rPr>
                <w:rFonts w:eastAsia="Times New Roman" w:cs="Times New Roman" w:ascii="Times New Roman" w:hAnsi="Times New Roman"/>
                <w:sz w:val="24"/>
                <w:szCs w:val="24"/>
              </w:rPr>
              <w:t xml:space="preserve">– перенос срока капитального ремонта крыши ПИР + СМР и фасада СМР + ПИР на 2026-2028 года </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rPr>
              <w:t>Дом 1995 года постройки, 2 этажа</w:t>
            </w:r>
          </w:p>
          <w:p>
            <w:pPr>
              <w:pStyle w:val="Normal"/>
              <w:spacing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
                <w:sz w:val="24"/>
                <w:szCs w:val="24"/>
              </w:rPr>
              <w:t xml:space="preserve">Периоды проведения капитального ремонта: </w:t>
            </w:r>
            <w:r>
              <w:rPr>
                <w:rFonts w:eastAsia="Times New Roman" w:cs="Times New Roman" w:ascii="Times New Roman" w:hAnsi="Times New Roman"/>
                <w:bCs/>
                <w:sz w:val="24"/>
                <w:szCs w:val="24"/>
              </w:rPr>
              <w:t>2035-2037, 2041-2043</w:t>
            </w:r>
          </w:p>
          <w:p>
            <w:pPr>
              <w:pStyle w:val="Normal"/>
              <w:spacing w:before="0" w:after="0"/>
              <w:contextualSpacing/>
              <w:jc w:val="both"/>
              <w:rPr>
                <w:rFonts w:ascii="Times New Roman" w:hAnsi="Times New Roman" w:cs="Times New Roman"/>
                <w:b/>
                <w:sz w:val="24"/>
                <w:szCs w:val="24"/>
              </w:rPr>
            </w:pPr>
            <w:r>
              <w:rPr>
                <w:rFonts w:eastAsia="Times New Roman" w:cs="Times New Roman" w:ascii="Times New Roman" w:hAnsi="Times New Roman"/>
                <w:b/>
                <w:sz w:val="24"/>
                <w:szCs w:val="24"/>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cs="Times New Roman" w:ascii="Times New Roman" w:hAnsi="Times New Roman"/>
              </w:rPr>
              <w:t>Не полный комплект</w:t>
            </w:r>
          </w:p>
        </w:tc>
      </w:tr>
      <w:tr>
        <w:trPr>
          <w:trHeight w:val="1587"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2.</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contextualSpacing/>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Волховский муниципальный район, п. Свирица, ул. Старая Свирица, д. 8 </w:t>
            </w:r>
            <w:r>
              <w:rPr>
                <w:rFonts w:eastAsia="Times New Roman" w:cs="Times New Roman" w:ascii="Times New Roman" w:hAnsi="Times New Roman"/>
                <w:sz w:val="24"/>
                <w:szCs w:val="24"/>
              </w:rPr>
              <w:t xml:space="preserve">– перенос срока капитального ремонта крыши ПИР + СМР на 2026-2028 года </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rPr>
              <w:t>Дом 1972 года постройки, 2 этажа</w:t>
            </w:r>
          </w:p>
          <w:p>
            <w:pPr>
              <w:pStyle w:val="Normal"/>
              <w:spacing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
                <w:sz w:val="24"/>
                <w:szCs w:val="24"/>
              </w:rPr>
              <w:t xml:space="preserve">Периоды проведения капитального ремонта: </w:t>
            </w:r>
            <w:r>
              <w:rPr>
                <w:rFonts w:eastAsia="Times New Roman" w:cs="Times New Roman" w:ascii="Times New Roman" w:hAnsi="Times New Roman"/>
                <w:bCs/>
                <w:sz w:val="24"/>
                <w:szCs w:val="24"/>
              </w:rPr>
              <w:t>2029-2031, 2032-2034, 2035-2037, 2041-2043</w:t>
            </w:r>
          </w:p>
          <w:p>
            <w:pPr>
              <w:pStyle w:val="Normal"/>
              <w:spacing w:before="0" w:after="0"/>
              <w:contextualSpacing/>
              <w:rPr>
                <w:rFonts w:ascii="Times New Roman" w:hAnsi="Times New Roman" w:eastAsia="Times New Roman" w:cs="Times New Roman"/>
                <w:b/>
                <w:sz w:val="24"/>
                <w:szCs w:val="24"/>
              </w:rPr>
            </w:pPr>
            <w:r>
              <w:rPr>
                <w:rFonts w:eastAsia="Times New Roman" w:cs="Times New Roman" w:ascii="Times New Roman" w:hAnsi="Times New Roman"/>
                <w:b/>
                <w:sz w:val="24"/>
                <w:szCs w:val="24"/>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cs="Times New Roman" w:ascii="Times New Roman" w:hAnsi="Times New Roman"/>
              </w:rPr>
              <w:t>Не полный комплект</w:t>
            </w:r>
          </w:p>
        </w:tc>
      </w:tr>
      <w:tr>
        <w:trPr>
          <w:trHeight w:val="1587"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3.</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contextualSpacing/>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Волховский муниципальный район, п. Свирица, ул. Старая Свирица, д. 9Б </w:t>
            </w:r>
            <w:r>
              <w:rPr>
                <w:rFonts w:eastAsia="Times New Roman" w:cs="Times New Roman" w:ascii="Times New Roman" w:hAnsi="Times New Roman"/>
                <w:sz w:val="24"/>
                <w:szCs w:val="24"/>
              </w:rPr>
              <w:t xml:space="preserve">– перенос срока капитального ремонта крыши ПИР + СМР и фасада СМР + ПИР на 2026-2028 года </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rPr>
              <w:t>Дом 1969 года постройки, 2 этажа</w:t>
            </w:r>
          </w:p>
          <w:p>
            <w:pPr>
              <w:pStyle w:val="Normal"/>
              <w:spacing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
                <w:sz w:val="24"/>
                <w:szCs w:val="24"/>
              </w:rPr>
              <w:t xml:space="preserve">Периоды проведения капитального ремонта: </w:t>
            </w:r>
            <w:r>
              <w:rPr>
                <w:rFonts w:eastAsia="Times New Roman" w:cs="Times New Roman" w:ascii="Times New Roman" w:hAnsi="Times New Roman"/>
                <w:bCs/>
                <w:sz w:val="24"/>
                <w:szCs w:val="24"/>
              </w:rPr>
              <w:t>2029-2031, 2032-2034, 2035-2037</w:t>
            </w:r>
          </w:p>
          <w:p>
            <w:pPr>
              <w:pStyle w:val="Normal"/>
              <w:spacing w:before="0" w:after="0"/>
              <w:contextualSpacing/>
              <w:rPr>
                <w:rFonts w:ascii="Times New Roman" w:hAnsi="Times New Roman" w:eastAsia="Times New Roman" w:cs="Times New Roman"/>
                <w:b/>
                <w:sz w:val="24"/>
                <w:szCs w:val="24"/>
              </w:rPr>
            </w:pPr>
            <w:r>
              <w:rPr>
                <w:rFonts w:eastAsia="Times New Roman" w:cs="Times New Roman" w:ascii="Times New Roman" w:hAnsi="Times New Roman"/>
                <w:b/>
                <w:sz w:val="24"/>
                <w:szCs w:val="24"/>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cs="Times New Roman" w:ascii="Times New Roman" w:hAnsi="Times New Roman"/>
              </w:rPr>
              <w:t>Не полный комплект</w:t>
            </w:r>
          </w:p>
        </w:tc>
      </w:tr>
      <w:tr>
        <w:trPr>
          <w:trHeight w:val="1587"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4.</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contextualSpacing/>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Волховский муниципальный район, п. Свирица, ул. Старая Свирица, д. 10 </w:t>
            </w:r>
            <w:r>
              <w:rPr>
                <w:rFonts w:eastAsia="Times New Roman" w:cs="Times New Roman" w:ascii="Times New Roman" w:hAnsi="Times New Roman"/>
                <w:sz w:val="24"/>
                <w:szCs w:val="24"/>
              </w:rPr>
              <w:t xml:space="preserve">– перенос срока капитального ремонта крыши ПИР + СМР на 2026-2028 года </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rPr>
              <w:t>Дом 1983 года постройки, 2 этажа</w:t>
            </w:r>
          </w:p>
          <w:p>
            <w:pPr>
              <w:pStyle w:val="Normal"/>
              <w:spacing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
                <w:sz w:val="24"/>
                <w:szCs w:val="24"/>
              </w:rPr>
              <w:t xml:space="preserve">Периоды проведения капитального ремонта: </w:t>
            </w:r>
            <w:r>
              <w:rPr>
                <w:rFonts w:eastAsia="Times New Roman" w:cs="Times New Roman" w:ascii="Times New Roman" w:hAnsi="Times New Roman"/>
                <w:bCs/>
                <w:sz w:val="24"/>
                <w:szCs w:val="24"/>
              </w:rPr>
              <w:t>2035-2037, 2041-2043</w:t>
            </w:r>
          </w:p>
          <w:p>
            <w:pPr>
              <w:pStyle w:val="Normal"/>
              <w:spacing w:before="0" w:after="0"/>
              <w:contextualSpacing/>
              <w:rPr>
                <w:rFonts w:ascii="Times New Roman" w:hAnsi="Times New Roman" w:eastAsia="Times New Roman" w:cs="Times New Roman"/>
                <w:b/>
                <w:sz w:val="24"/>
                <w:szCs w:val="24"/>
              </w:rPr>
            </w:pPr>
            <w:r>
              <w:rPr>
                <w:rFonts w:eastAsia="Times New Roman" w:cs="Times New Roman" w:ascii="Times New Roman" w:hAnsi="Times New Roman"/>
                <w:b/>
                <w:sz w:val="24"/>
                <w:szCs w:val="24"/>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cs="Times New Roman" w:ascii="Times New Roman" w:hAnsi="Times New Roman"/>
              </w:rPr>
              <w:t>Не полный комплект</w:t>
            </w:r>
          </w:p>
        </w:tc>
      </w:tr>
      <w:tr>
        <w:trPr>
          <w:trHeight w:val="1587"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5.</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contextualSpacing/>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Волховский муниципальный район, п. Свирица, ул. Новая Свирица, д. 13 </w:t>
            </w:r>
            <w:r>
              <w:rPr>
                <w:rFonts w:eastAsia="Times New Roman" w:cs="Times New Roman" w:ascii="Times New Roman" w:hAnsi="Times New Roman"/>
                <w:sz w:val="24"/>
                <w:szCs w:val="24"/>
              </w:rPr>
              <w:t xml:space="preserve">– перенос срока капитального ремонта крыши ПИР + СМР на 2026-2028 года </w:t>
            </w:r>
          </w:p>
          <w:p>
            <w:pPr>
              <w:pStyle w:val="Normal"/>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rPr>
              <w:t>Дом 1979 года постройки, 2 этажа</w:t>
            </w:r>
          </w:p>
          <w:p>
            <w:pPr>
              <w:pStyle w:val="Normal"/>
              <w:spacing w:before="0" w:after="0"/>
              <w:contextualSpacing/>
              <w:jc w:val="both"/>
              <w:rPr>
                <w:rFonts w:ascii="Times New Roman" w:hAnsi="Times New Roman" w:eastAsia="Times New Roman" w:cs="Times New Roman"/>
                <w:bCs/>
                <w:sz w:val="24"/>
                <w:szCs w:val="24"/>
              </w:rPr>
            </w:pPr>
            <w:r>
              <w:rPr>
                <w:rFonts w:eastAsia="Times New Roman" w:cs="Times New Roman" w:ascii="Times New Roman" w:hAnsi="Times New Roman"/>
                <w:b/>
                <w:sz w:val="24"/>
                <w:szCs w:val="24"/>
              </w:rPr>
              <w:t xml:space="preserve">Периоды проведения капитального ремонта: </w:t>
            </w:r>
            <w:r>
              <w:rPr>
                <w:rFonts w:eastAsia="Times New Roman" w:cs="Times New Roman" w:ascii="Times New Roman" w:hAnsi="Times New Roman"/>
                <w:bCs/>
                <w:sz w:val="24"/>
                <w:szCs w:val="24"/>
              </w:rPr>
              <w:t>2014-2016 (2016 СМР Крыши) , 2029-2031, 2035-2037, 2041-2043</w:t>
            </w:r>
          </w:p>
          <w:p>
            <w:pPr>
              <w:pStyle w:val="Normal"/>
              <w:spacing w:before="0" w:after="0"/>
              <w:contextualSpacing/>
              <w:rPr>
                <w:rFonts w:ascii="Times New Roman" w:hAnsi="Times New Roman" w:eastAsia="Times New Roman" w:cs="Times New Roman"/>
                <w:b/>
                <w:sz w:val="24"/>
                <w:szCs w:val="24"/>
              </w:rPr>
            </w:pPr>
            <w:r>
              <w:rPr>
                <w:rFonts w:eastAsia="Times New Roman" w:cs="Times New Roman" w:ascii="Times New Roman" w:hAnsi="Times New Roman"/>
                <w:b/>
                <w:sz w:val="24"/>
                <w:szCs w:val="24"/>
              </w:rPr>
              <w:t>Способ формирования фонда: РО</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cs="Times New Roman" w:ascii="Times New Roman" w:hAnsi="Times New Roman"/>
              </w:rPr>
              <w:t>Не полный комплект</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протокола общего собрания собственников помещений в многоквартирном доме, содержащего решение общего собрания собственников помещений в многоквартирном доме о переносе установленного региональной программой срока капитального ремонта (срока оказания отдельных услуг и(или) выполнения работ по капитальному ремонту) на более ранний период (срок)</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сведения по форме согласно приложению 6 к настоящему Порядку</w:t>
            </w:r>
          </w:p>
          <w:p>
            <w:pPr>
              <w:pStyle w:val="Normal"/>
              <w:spacing w:before="0" w:after="200"/>
              <w:contextualSpacing/>
              <w:jc w:val="both"/>
              <w:rPr>
                <w:rFonts w:ascii="Times New Roman" w:hAnsi="Times New Roman" w:cs="Times New Roman"/>
              </w:rPr>
            </w:pPr>
            <w:r>
              <w:rPr>
                <w:rFonts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В наличии </w:t>
            </w:r>
          </w:p>
          <w:p>
            <w:pPr>
              <w:pStyle w:val="Normal"/>
              <w:spacing w:before="0" w:after="200"/>
              <w:contextualSpacing/>
              <w:jc w:val="both"/>
              <w:rPr>
                <w:rFonts w:ascii="Times New Roman" w:hAnsi="Times New Roman" w:cs="Times New Roman"/>
              </w:rPr>
            </w:pPr>
            <w:r>
              <w:rPr>
                <w:rFonts w:cs="Times New Roman" w:ascii="Times New Roman" w:hAnsi="Times New Roman"/>
              </w:rPr>
            </w:r>
          </w:p>
        </w:tc>
      </w:tr>
      <w:tr>
        <w:trPr>
          <w:trHeight w:val="1136" w:hRule="atLeast"/>
        </w:trPr>
        <w:tc>
          <w:tcPr>
            <w:tcW w:w="13042" w:type="dxa"/>
            <w:gridSpan w:val="2"/>
            <w:vMerge w:val="restart"/>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Копия заключения специализированной организации, проводившей техническое обследование многоквартирного дома, включенного в региональную программу, оформленного не ранее чем за три года до даты подачи заявления, предусмотренного пунктом 3.2 настоящего Порядка, с указанием степени износа конструктивных элементов или внутридомовых инженерных систем в многоквартирном доме;</w:t>
            </w:r>
          </w:p>
        </w:tc>
        <w:tc>
          <w:tcPr>
            <w:tcW w:w="2693" w:type="dxa"/>
            <w:tcBorders>
              <w:top w:val="single" w:sz="4" w:space="0" w:color="000000"/>
              <w:left w:val="single" w:sz="4" w:space="0" w:color="000000"/>
              <w:bottom w:val="single" w:sz="4" w:space="0" w:color="000000"/>
              <w:right w:val="single" w:sz="4" w:space="0" w:color="000000"/>
            </w:tcBorders>
            <w:shd w:color="auto" w:fill="FFFF00" w:val="clea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 только по фасаду и крыше:</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Общий износ крыши 21% </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Общий износ фасада </w:t>
            </w:r>
            <w:r>
              <w:rPr>
                <w:rFonts w:eastAsia="Times New Roman" w:cs="Times New Roman" w:ascii="Times New Roman" w:hAnsi="Times New Roman"/>
                <w:b/>
                <w:bCs/>
              </w:rPr>
              <w:t>22%</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Общий износ фундамента </w:t>
            </w:r>
            <w:r>
              <w:rPr>
                <w:rFonts w:eastAsia="Times New Roman" w:cs="Times New Roman" w:ascii="Times New Roman" w:hAnsi="Times New Roman"/>
                <w:u w:val="single"/>
              </w:rPr>
              <w:t>отсутствует</w:t>
            </w:r>
          </w:p>
        </w:tc>
      </w:tr>
      <w:tr>
        <w:trPr>
          <w:trHeight w:val="1136" w:hRule="atLeast"/>
        </w:trPr>
        <w:tc>
          <w:tcPr>
            <w:tcW w:w="13042" w:type="dxa"/>
            <w:gridSpan w:val="2"/>
            <w:vMerge w:val="continue"/>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shd w:color="auto" w:fill="FFFF00" w:val="clea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 только по крыше:</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Общий износ крыши </w:t>
            </w:r>
            <w:r>
              <w:rPr>
                <w:rFonts w:eastAsia="Times New Roman" w:cs="Times New Roman" w:ascii="Times New Roman" w:hAnsi="Times New Roman"/>
                <w:b/>
                <w:bCs/>
              </w:rPr>
              <w:t xml:space="preserve">22% </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Общий износ фасада </w:t>
            </w:r>
            <w:r>
              <w:rPr>
                <w:rFonts w:eastAsia="Times New Roman" w:cs="Times New Roman" w:ascii="Times New Roman" w:hAnsi="Times New Roman"/>
                <w:u w:val="single"/>
              </w:rPr>
              <w:t>отсутствует</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Общий износ фундамента </w:t>
            </w:r>
            <w:r>
              <w:rPr>
                <w:rFonts w:eastAsia="Times New Roman" w:cs="Times New Roman" w:ascii="Times New Roman" w:hAnsi="Times New Roman"/>
                <w:u w:val="single"/>
              </w:rPr>
              <w:t>отсутствует</w:t>
            </w:r>
          </w:p>
        </w:tc>
      </w:tr>
      <w:tr>
        <w:trPr>
          <w:trHeight w:val="1136" w:hRule="atLeast"/>
        </w:trPr>
        <w:tc>
          <w:tcPr>
            <w:tcW w:w="13042" w:type="dxa"/>
            <w:gridSpan w:val="2"/>
            <w:vMerge w:val="continue"/>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shd w:color="auto" w:fill="FFFF00" w:val="clea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 только по крыше:</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Общий износ крыши </w:t>
            </w:r>
            <w:r>
              <w:rPr>
                <w:rFonts w:eastAsia="Times New Roman" w:cs="Times New Roman" w:ascii="Times New Roman" w:hAnsi="Times New Roman"/>
                <w:b/>
                <w:bCs/>
              </w:rPr>
              <w:t>44%</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Общий износ фасада </w:t>
            </w:r>
            <w:r>
              <w:rPr>
                <w:rFonts w:eastAsia="Times New Roman" w:cs="Times New Roman" w:ascii="Times New Roman" w:hAnsi="Times New Roman"/>
                <w:u w:val="single"/>
              </w:rPr>
              <w:t>отсутствует</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Общий износ фундамента </w:t>
            </w:r>
            <w:r>
              <w:rPr>
                <w:rFonts w:eastAsia="Times New Roman" w:cs="Times New Roman" w:ascii="Times New Roman" w:hAnsi="Times New Roman"/>
                <w:u w:val="single"/>
              </w:rPr>
              <w:t>отсутствует</w:t>
            </w:r>
          </w:p>
        </w:tc>
      </w:tr>
      <w:tr>
        <w:trPr>
          <w:trHeight w:val="1136" w:hRule="atLeast"/>
        </w:trPr>
        <w:tc>
          <w:tcPr>
            <w:tcW w:w="13042" w:type="dxa"/>
            <w:gridSpan w:val="2"/>
            <w:vMerge w:val="continue"/>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shd w:color="auto" w:fill="FFFF00" w:val="clea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 только по крыше:</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Общий износ крыши </w:t>
            </w:r>
            <w:r>
              <w:rPr>
                <w:rFonts w:eastAsia="Times New Roman" w:cs="Times New Roman" w:ascii="Times New Roman" w:hAnsi="Times New Roman"/>
                <w:b/>
                <w:bCs/>
              </w:rPr>
              <w:t>43</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Общий износ фасада </w:t>
            </w:r>
            <w:r>
              <w:rPr>
                <w:rFonts w:eastAsia="Times New Roman" w:cs="Times New Roman" w:ascii="Times New Roman" w:hAnsi="Times New Roman"/>
                <w:u w:val="single"/>
              </w:rPr>
              <w:t>отсутствует</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Общий износ фундамента </w:t>
            </w:r>
            <w:r>
              <w:rPr>
                <w:rFonts w:eastAsia="Times New Roman" w:cs="Times New Roman" w:ascii="Times New Roman" w:hAnsi="Times New Roman"/>
                <w:u w:val="single"/>
              </w:rPr>
              <w:t>отсутствует</w:t>
            </w:r>
          </w:p>
        </w:tc>
      </w:tr>
      <w:tr>
        <w:trPr>
          <w:trHeight w:val="1136" w:hRule="atLeast"/>
        </w:trPr>
        <w:tc>
          <w:tcPr>
            <w:tcW w:w="13042" w:type="dxa"/>
            <w:gridSpan w:val="2"/>
            <w:vMerge w:val="continue"/>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shd w:color="auto" w:fill="FFFF00" w:val="clea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В наличии только по крыше:</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Общий износ крыши </w:t>
            </w:r>
            <w:r>
              <w:rPr>
                <w:rFonts w:eastAsia="Times New Roman" w:cs="Times New Roman" w:ascii="Times New Roman" w:hAnsi="Times New Roman"/>
                <w:b/>
                <w:bCs/>
              </w:rPr>
              <w:t>отсутствует</w:t>
            </w:r>
            <w:r>
              <w:rPr>
                <w:rFonts w:eastAsia="Times New Roman" w:cs="Times New Roman" w:ascii="Times New Roman" w:hAnsi="Times New Roman"/>
              </w:rPr>
              <w:t xml:space="preserve"> </w:t>
            </w:r>
          </w:p>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Общий износ фасада </w:t>
            </w:r>
            <w:r>
              <w:rPr>
                <w:rFonts w:eastAsia="Times New Roman" w:cs="Times New Roman" w:ascii="Times New Roman" w:hAnsi="Times New Roman"/>
                <w:b/>
                <w:bCs/>
              </w:rPr>
              <w:t>43 %</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rPr>
              <w:t xml:space="preserve">Общий износ фундамента </w:t>
            </w:r>
            <w:r>
              <w:rPr>
                <w:rFonts w:eastAsia="Times New Roman" w:cs="Times New Roman" w:ascii="Times New Roman" w:hAnsi="Times New Roman"/>
                <w:b/>
                <w:bCs/>
              </w:rPr>
              <w:t>42 %</w:t>
            </w:r>
          </w:p>
        </w:tc>
      </w:tr>
      <w:tr>
        <w:trPr>
          <w:trHeight w:val="1030" w:hRule="atLeast"/>
        </w:trPr>
        <w:tc>
          <w:tcPr>
            <w:tcW w:w="13042" w:type="dxa"/>
            <w:gridSpan w:val="2"/>
            <w:vMerge w:val="restart"/>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rPr>
            </w:pPr>
            <w:r>
              <w:rPr>
                <w:rFonts w:eastAsia="Times New Roman" w:cs="Times New Roman" w:ascii="Times New Roman" w:hAnsi="Times New Roman"/>
              </w:rPr>
              <w:t>Справка регионального оператора о формировании фонда капитального ремонта в отношении данного многоквартирного дома, содержащая одно из следующих заключений:</w:t>
            </w:r>
          </w:p>
          <w:p>
            <w:pPr>
              <w:pStyle w:val="ListParagraph"/>
              <w:numPr>
                <w:ilvl w:val="0"/>
                <w:numId w:val="1"/>
              </w:numPr>
              <w:spacing w:before="0" w:after="0"/>
              <w:contextualSpacing/>
              <w:jc w:val="both"/>
              <w:rPr>
                <w:rFonts w:ascii="Times New Roman" w:hAnsi="Times New Roman" w:cs="Times New Roman"/>
              </w:rPr>
            </w:pPr>
            <w:r>
              <w:rPr>
                <w:rFonts w:eastAsia="Times New Roman" w:cs="Times New Roman" w:ascii="Times New Roman" w:hAnsi="Times New Roman"/>
                <w:highlight w:val="white"/>
              </w:rPr>
              <w:t xml:space="preserve">о размере фактических поступлений взносов на капитальный, </w:t>
            </w:r>
            <w:r>
              <w:rPr>
                <w:rFonts w:eastAsia="Times New Roman" w:cs="Times New Roman" w:ascii="Times New Roman" w:hAnsi="Times New Roman"/>
              </w:rPr>
              <w:t>при этом собираемость взносов на капитальный ремонт собственников помещений в многоквартирном доме составляет не менее 95 процентов за весь период их начисления в многоквартирном доме начиная с месяца начисления по месяц, предшествующий месяцу подачи заявления, в соответствии с пунктом 3.2 настоящего Порядка и собираемость взносов на капитальный ремонт администрацией муниципального образования, на территории которого расположен многоквартирный дом, составляет не менее 100 процентов за весь период их начисления администрации муниципального образования начиная с месяца начисления по месяц, предшествующий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В наличии </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Собственники – 97,12%</w:t>
            </w:r>
          </w:p>
          <w:p>
            <w:pPr>
              <w:pStyle w:val="Normal"/>
              <w:spacing w:before="0" w:after="200"/>
              <w:contextualSpacing/>
              <w:rPr>
                <w:rFonts w:ascii="Times New Roman" w:hAnsi="Times New Roman" w:cs="Times New Roman"/>
              </w:rPr>
            </w:pPr>
            <w:r>
              <w:rPr>
                <w:rFonts w:eastAsia="Times New Roman" w:cs="Times New Roman" w:ascii="Times New Roman" w:hAnsi="Times New Roman"/>
                <w:b/>
              </w:rPr>
              <w:t>АМО – 100,00%</w:t>
            </w:r>
          </w:p>
        </w:tc>
      </w:tr>
      <w:tr>
        <w:trPr>
          <w:trHeight w:val="666" w:hRule="atLeast"/>
        </w:trPr>
        <w:tc>
          <w:tcPr>
            <w:tcW w:w="13042" w:type="dxa"/>
            <w:gridSpan w:val="2"/>
            <w:vMerge w:val="continue"/>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eastAsia="Times New Roman" w:cs="Times New Roman"/>
              </w:rPr>
            </w:pPr>
            <w:r>
              <w:rPr>
                <w:rFonts w:eastAsia="Times New Roman"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shd w:color="auto" w:fill="FFFF00" w:val="clea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В наличии </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Собственники – 93,56%</w:t>
            </w:r>
          </w:p>
          <w:p>
            <w:pPr>
              <w:pStyle w:val="Normal"/>
              <w:spacing w:before="0" w:after="200"/>
              <w:contextualSpacing/>
              <w:jc w:val="both"/>
              <w:rPr>
                <w:rFonts w:ascii="Times New Roman" w:hAnsi="Times New Roman" w:eastAsia="Times New Roman" w:cs="Times New Roman"/>
                <w:b/>
                <w:bCs/>
              </w:rPr>
            </w:pPr>
            <w:r>
              <w:rPr>
                <w:rFonts w:eastAsia="Times New Roman" w:cs="Times New Roman" w:ascii="Times New Roman" w:hAnsi="Times New Roman"/>
                <w:b/>
              </w:rPr>
              <w:t>АМО – 100,00%</w:t>
            </w:r>
          </w:p>
        </w:tc>
      </w:tr>
      <w:tr>
        <w:trPr>
          <w:trHeight w:val="663" w:hRule="atLeast"/>
        </w:trPr>
        <w:tc>
          <w:tcPr>
            <w:tcW w:w="13042" w:type="dxa"/>
            <w:gridSpan w:val="2"/>
            <w:vMerge w:val="continue"/>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eastAsia="Times New Roman" w:cs="Times New Roman"/>
              </w:rPr>
            </w:pPr>
            <w:r>
              <w:rPr>
                <w:rFonts w:eastAsia="Times New Roman"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shd w:color="auto" w:fill="FFFF00" w:val="clea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В наличии </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Собственники – 91,68%</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АМО – 100,00%</w:t>
            </w:r>
          </w:p>
        </w:tc>
      </w:tr>
      <w:tr>
        <w:trPr>
          <w:trHeight w:val="663" w:hRule="atLeast"/>
        </w:trPr>
        <w:tc>
          <w:tcPr>
            <w:tcW w:w="13042" w:type="dxa"/>
            <w:gridSpan w:val="2"/>
            <w:vMerge w:val="continue"/>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eastAsia="Times New Roman" w:cs="Times New Roman"/>
              </w:rPr>
            </w:pPr>
            <w:r>
              <w:rPr>
                <w:rFonts w:eastAsia="Times New Roman"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shd w:color="auto" w:fill="FFFF00" w:val="clear"/>
          </w:tcPr>
          <w:p>
            <w:pPr>
              <w:pStyle w:val="Normal"/>
              <w:spacing w:before="0" w:after="200"/>
              <w:contextualSpacing/>
              <w:jc w:val="both"/>
              <w:rPr>
                <w:rFonts w:ascii="Times New Roman" w:hAnsi="Times New Roman" w:cs="Times New Roman"/>
              </w:rPr>
            </w:pPr>
            <w:r>
              <w:rPr>
                <w:rFonts w:eastAsia="Times New Roman" w:cs="Times New Roman" w:ascii="Times New Roman" w:hAnsi="Times New Roman"/>
              </w:rPr>
              <w:t xml:space="preserve">В наличии </w:t>
            </w:r>
          </w:p>
          <w:p>
            <w:pPr>
              <w:pStyle w:val="Normal"/>
              <w:spacing w:before="0" w:after="200"/>
              <w:contextualSpacing/>
              <w:rPr>
                <w:rFonts w:ascii="Times New Roman" w:hAnsi="Times New Roman" w:cs="Times New Roman"/>
                <w:b/>
              </w:rPr>
            </w:pPr>
            <w:r>
              <w:rPr>
                <w:rFonts w:eastAsia="Times New Roman" w:cs="Times New Roman" w:ascii="Times New Roman" w:hAnsi="Times New Roman"/>
                <w:b/>
              </w:rPr>
              <w:t>Собственники – 74,61%</w:t>
            </w:r>
          </w:p>
          <w:p>
            <w:pPr>
              <w:pStyle w:val="Normal"/>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АМО – 100,00%</w:t>
            </w:r>
          </w:p>
        </w:tc>
      </w:tr>
      <w:tr>
        <w:trPr>
          <w:trHeight w:val="950" w:hRule="atLeast"/>
        </w:trPr>
        <w:tc>
          <w:tcPr>
            <w:tcW w:w="13042" w:type="dxa"/>
            <w:gridSpan w:val="2"/>
            <w:vMerge w:val="continue"/>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eastAsia="Times New Roman" w:cs="Times New Roman"/>
              </w:rPr>
            </w:pPr>
            <w:r>
              <w:rPr>
                <w:rFonts w:eastAsia="Times New Roman"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shd w:val="clear" w:color="auto" w:fill="FFFF00"/>
              <w:spacing w:before="0" w:after="200"/>
              <w:contextualSpacing/>
              <w:jc w:val="both"/>
              <w:rPr>
                <w:rFonts w:ascii="Times New Roman" w:hAnsi="Times New Roman" w:cs="Times New Roman"/>
              </w:rPr>
            </w:pPr>
            <w:r>
              <w:rPr>
                <w:rFonts w:eastAsia="Times New Roman" w:cs="Times New Roman" w:ascii="Times New Roman" w:hAnsi="Times New Roman"/>
              </w:rPr>
              <w:t xml:space="preserve">В наличии </w:t>
            </w:r>
          </w:p>
          <w:p>
            <w:pPr>
              <w:pStyle w:val="Normal"/>
              <w:shd w:val="clear" w:color="auto" w:fill="FFFF00"/>
              <w:spacing w:before="0" w:after="200"/>
              <w:contextualSpacing/>
              <w:rPr>
                <w:rFonts w:ascii="Times New Roman" w:hAnsi="Times New Roman" w:cs="Times New Roman"/>
                <w:b/>
              </w:rPr>
            </w:pPr>
            <w:r>
              <w:rPr>
                <w:rFonts w:eastAsia="Times New Roman" w:cs="Times New Roman" w:ascii="Times New Roman" w:hAnsi="Times New Roman"/>
                <w:b/>
              </w:rPr>
              <w:t>Собственники – 89,90%</w:t>
            </w:r>
          </w:p>
          <w:p>
            <w:pPr>
              <w:pStyle w:val="Normal"/>
              <w:shd w:val="clear" w:color="auto" w:fill="FFFF00"/>
              <w:spacing w:before="0" w:after="200"/>
              <w:contextualSpacing/>
              <w:jc w:val="both"/>
              <w:rPr>
                <w:rFonts w:ascii="Times New Roman" w:hAnsi="Times New Roman" w:eastAsia="Times New Roman" w:cs="Times New Roman"/>
              </w:rPr>
            </w:pPr>
            <w:r>
              <w:rPr>
                <w:rFonts w:eastAsia="Times New Roman" w:cs="Times New Roman" w:ascii="Times New Roman" w:hAnsi="Times New Roman"/>
                <w:b/>
              </w:rPr>
              <w:t>АМО – 100,00%</w:t>
            </w:r>
          </w:p>
        </w:tc>
      </w:tr>
      <w:tr>
        <w:trPr>
          <w:trHeight w:val="412"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both"/>
              <w:rPr>
                <w:rFonts w:ascii="Times New Roman" w:hAnsi="Times New Roman" w:cs="Times New Roman"/>
                <w:sz w:val="20"/>
                <w:szCs w:val="20"/>
              </w:rPr>
            </w:pPr>
            <w:r>
              <w:rPr>
                <w:rFonts w:eastAsia="Times New Roman" w:cs="Times New Roman" w:ascii="Times New Roman" w:hAnsi="Times New Roman"/>
                <w:sz w:val="20"/>
                <w:szCs w:val="20"/>
              </w:rPr>
              <w:t>Копии проектно-сметной документации на выполнение работ и(или) услуг по капитальному ремонту общего имущества в многоквартирном доме, разработанной и утвержденной в соответствии с действующим законодательством, или локальные сметные расчеты, составленные по результатам проведенного мониторинга технического состояния многоквартирного дома по видам услуг и(или) работ по капитальному ремонту, по которым подано заявление о переносе срока капитального ремонта на более ранний период (срок), согласованные с региональным оператором;</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 xml:space="preserve">В наличии </w:t>
            </w:r>
          </w:p>
        </w:tc>
      </w:tr>
      <w:tr>
        <w:trPr>
          <w:trHeight w:val="699"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ascii="Times New Roman" w:hAnsi="Times New Roman" w:cs="Times New Roman"/>
                <w:sz w:val="20"/>
                <w:szCs w:val="20"/>
              </w:rPr>
            </w:pPr>
            <w:r>
              <w:rPr>
                <w:rFonts w:eastAsia="Times New Roman" w:cs="Times New Roman" w:ascii="Times New Roman" w:hAnsi="Times New Roman"/>
                <w:sz w:val="20"/>
                <w:szCs w:val="20"/>
              </w:rPr>
              <w:t>Справка регионального оператора об отсутствии задолженности собственников помещений в многоквартирном доме за оказанные услуги и(или) выполненные работы по капитальному ремонту общего имущества в многоквартирном доме (за исключением многоквартирных домов, являющихся объектами культурного наследия), непогашенной в течение 15 лет с года, следующего за годом оказания соответствующих услуг и(или) выполнения работ по капитальному ремонту общего имущества в многоквартирном доме, подлежащей погашению за счет фонда капитального ремонта, рассчитанной без учета мер государственной поддержки, предусмотренной статьей 191 Жилищного кодекса Российской Федерации, по состоянию на первое число месяца, предшествующего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both"/>
              <w:rPr>
                <w:rFonts w:ascii="Times New Roman" w:hAnsi="Times New Roman" w:cs="Times New Roman"/>
                <w:highlight w:val="yellow"/>
              </w:rPr>
            </w:pPr>
            <w:r>
              <w:rPr>
                <w:rFonts w:cs="Times New Roman" w:ascii="Times New Roman" w:hAnsi="Times New Roman"/>
                <w:highlight w:val="yellow"/>
              </w:rPr>
            </w:r>
          </w:p>
        </w:tc>
      </w:tr>
    </w:tbl>
    <w:p>
      <w:pPr>
        <w:pStyle w:val="Normal"/>
        <w:spacing w:lineRule="auto" w:line="240"/>
        <w:jc w:val="center"/>
        <w:rPr>
          <w:rFonts w:ascii="Times New Roman" w:hAnsi="Times New Roman" w:eastAsia="Times New Roman" w:cs="Times New Roman"/>
          <w:b/>
          <w:bCs/>
        </w:rPr>
      </w:pPr>
      <w:r>
        <w:rPr>
          <w:rFonts w:eastAsia="Times New Roman" w:cs="Times New Roman" w:ascii="Times New Roman" w:hAnsi="Times New Roman"/>
          <w:b/>
          <w:bCs/>
        </w:rPr>
      </w:r>
    </w:p>
    <w:p>
      <w:pPr>
        <w:pStyle w:val="Normal"/>
        <w:spacing w:lineRule="auto" w:line="240"/>
        <w:jc w:val="right"/>
        <w:rPr>
          <w:rFonts w:ascii="Times New Roman" w:hAnsi="Times New Roman" w:cs="Times New Roman"/>
          <w:b/>
        </w:rPr>
      </w:pPr>
      <w:r>
        <w:rPr>
          <w:rFonts w:eastAsia="Times New Roman" w:cs="Times New Roman" w:ascii="Times New Roman" w:hAnsi="Times New Roman"/>
          <w:b/>
        </w:rPr>
        <w:t>Приложение № 10</w:t>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t>Администрация Всеволожского муниципального района Ленинградской области</w:t>
      </w:r>
    </w:p>
    <w:p>
      <w:pPr>
        <w:pStyle w:val="Normal"/>
        <w:spacing w:lineRule="auto" w:line="240" w:before="0" w:after="200"/>
        <w:ind w:firstLine="142"/>
        <w:contextualSpacing/>
        <w:jc w:val="both"/>
        <w:rPr>
          <w:rFonts w:ascii="Times New Roman" w:hAnsi="Times New Roman" w:cs="Times New Roman"/>
        </w:rPr>
      </w:pPr>
      <w:r>
        <w:rPr>
          <w:rFonts w:eastAsia="Times New Roman" w:cs="Times New Roman" w:ascii="Times New Roman" w:hAnsi="Times New Roman"/>
        </w:rPr>
        <w:t xml:space="preserve">1.3.1. </w:t>
      </w:r>
      <w:r>
        <w:rPr>
          <w:rFonts w:eastAsia="Times New Roman" w:cs="Times New Roman" w:ascii="Times New Roman" w:hAnsi="Times New Roman"/>
          <w:b/>
        </w:rPr>
        <w:t>Включение</w:t>
      </w:r>
      <w:r>
        <w:rPr>
          <w:rFonts w:eastAsia="Times New Roman" w:cs="Times New Roman" w:ascii="Times New Roman" w:hAnsi="Times New Roman"/>
        </w:rPr>
        <w:t xml:space="preserve"> в региональную программу многоквартирных домов в случаях, если многоквартирные дома:</w:t>
      </w:r>
    </w:p>
    <w:p>
      <w:pPr>
        <w:pStyle w:val="Normal"/>
        <w:spacing w:lineRule="auto" w:line="240" w:before="240" w:after="200"/>
        <w:ind w:firstLine="142"/>
        <w:contextualSpacing/>
        <w:jc w:val="both"/>
        <w:rPr>
          <w:rFonts w:ascii="Times New Roman" w:hAnsi="Times New Roman" w:cs="Times New Roman"/>
        </w:rPr>
      </w:pPr>
      <w:r>
        <w:rPr>
          <w:rFonts w:eastAsia="Times New Roman" w:cs="Times New Roman" w:ascii="Times New Roman" w:hAnsi="Times New Roman"/>
        </w:rPr>
        <w:t>1) введены в эксплуатацию после завершения строительства или реконструкции;</w:t>
      </w:r>
    </w:p>
    <w:tbl>
      <w:tblPr>
        <w:tblW w:w="15735"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6"/>
        <w:gridCol w:w="12476"/>
        <w:gridCol w:w="2693"/>
      </w:tblGrid>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Всеволожск, ул. Евграфова, д. 11 </w:t>
            </w:r>
          </w:p>
          <w:p>
            <w:pPr>
              <w:pStyle w:val="Normal"/>
              <w:spacing w:before="0" w:after="200"/>
              <w:contextualSpacing/>
              <w:rPr>
                <w:rFonts w:ascii="Times New Roman" w:hAnsi="Times New Roman" w:cs="Times New Roman"/>
              </w:rPr>
            </w:pPr>
            <w:r>
              <w:rPr>
                <w:rFonts w:eastAsia="Times New Roman" w:cs="Times New Roman" w:ascii="Times New Roman" w:hAnsi="Times New Roman"/>
              </w:rPr>
              <w:t xml:space="preserve">Дом введен в эксплуатацию в 2024 году, 4 этажей, 96 жилых помещений (квартир), площадь общая – 4408,2 кв.м., (3422,8 кв.м. – площадь жилых помещений), стены – ж/б панели, крыша – плоская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2.</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Всеволожск, ул. Взлетная, д. 14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7 этажей, 101 жилых помещений (квартир), площадь общая – 5869,3 кв.м., (3917,0 кв.м. – площадь жилых помещений), стены – ж/б панели, крыша – плоская, Лифт – 2 ед.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3.</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Всеволожск, ул. Симферопольская, д. 2, к. 3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13 этажей, 112 жилых помещений (квартир), площадь общая – 13404,3 кв.м., (9382,0 кв.м. – площадь жилых помещений), стены – ж/б панели, крыша – плоская, Лифт – 2 ед.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4.</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Всеволожск, ул. Симферопольская, д. 2, к. 2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3-8 этажей, 55 жилых помещений (квартир), площадь общая – 6502,9 кв.м., (3140,0 кв.м. – площадь жилых помещений), стены – ж/б панели, крыша – плоская, Лифт – 4 ед.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5.</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Всеволожск, ул. Симферопольская, д. 2, к. 1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13 этажей, 194 жилых помещения (квартир), площадь общая – 8880,1 кв.м., (8275,9 кв.м. – площадь жилых помещений), стены – ж/б панели, крыша – плоская, Лифт – 6 ед.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6.</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Всеволожск, ул. Керченская, д. 1, к. 3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13 этажей, 194 жилых помещения (квартир), площадь общая – 8914,4 кв.м., (8496,6 кв.м. – площадь жилых помещений), стены – ж/б панели, крыша – плоская, Лифт – 6 ед.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7.</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Всеволожск, ул. Керченская, д. 1, к. 2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8 этажей, 64 жилых помещения (квартир), площадь общая – 3136,4 кв.м., (3017 кв.м. – площадь жилых помещений), стены – ж/б панели, крыша – плоская, Лифт – 2 ед.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8.</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Всеволожск, ул. Керченская, д. 1, к. 1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13 этажей, 114 жилых помещения (квартир), площадь общая – 7247,9 кв.м., (4633,5 кв.м. – площадь жилых помещений), стены – ж/б панели, крыша – плоская, Лифт – 2 ед.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9.</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п. Ковалево, ул. Александра Разгонина, д. 2, к. 2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12 этажей, 153 жилых помещения (квартир), площадь общая – 7571,1 кв.м., (4689,8 кв.м. – площадь жилых помещений), стены – ж/б панели, крыша – плоская, Лифт – 3 ед.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10.</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п. Ковалево, ул. Александра Разгонина, д. 2, к. 1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12-17 этажей, 421 жилых помещения (квартир), площадь общая – 21819,4 кв.м., (14155,8 кв.м. – площадь жилых помещений), стены – ж/б панели, крыша – плоская, Лифт – 7 ед.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11.</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п. Ковалево, ул. Александра Разгонина, д. 1, к. 3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17 этажей, 635 жилых помещения (квартир), площадь общая – 28880,4 кв.м., (18813,7 кв.м. – площадь жилых помещений), стены – ж/б панели, крыша – плоская, Лифт – 8 ед.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12.</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п. Ковалево, ул. Александра Разгонина, д. 1, к. 2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17 этажей, 150 жилых помещения (квартир), площадь общая – 8285,4 кв.м., (4913,4 кв.м. – площадь жилых помещений), стены – ж/б панели, крыша – плоская, Лифт – 2 ед.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13.</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п. Ковалево, ул. Александра Разгонина, д. 1, к. 1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17 этажей, 261 жилых помещения (квартир), площадь общая – 14147,9 кв.м., (9200,3 кв.м. – площадь жилых помещений), стены – ж/б панели, крыша – плоская, Лифт – 2 ед.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14.</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п. Ковалево, ул. Василия Мациевича, д. 8, к. 1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17 этажей, 418 жилых помещения (квартир), площадь общая – 19897,0 кв.м., (12785,5 кв.м. – площадь жилых помещений), стены – ж/б панели, крыша – плоская, Лифт – 6 ед.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15.</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п. Ковалево, ул. Василия Мациевича, д. 8, к. 2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17 этажей, 180 жилых помещения (квартир), площадь общая – 10703,6 кв.м., (6204,4 кв.м. – площадь жилых помещений), стены – ж/б панели, крыша – плоская, Лифт – 3 ед.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16.</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Всеволожский муниципальный район, п. Ковалево, ул. Василия Мациевича, д. 8, к. 3</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17 этажей, 190 жилых помещения (квартир), площадь общая – 10698,8 кв.м., (6519,1 кв.м. – площадь жилых помещений), стены – ж/б панели, крыша – плоская, Лифт – 3 ед.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center"/>
              <w:rPr>
                <w:rFonts w:ascii="Times New Roman" w:hAnsi="Times New Roman" w:cs="Times New Roman"/>
              </w:rPr>
            </w:pPr>
            <w:r>
              <w:rPr>
                <w:rFonts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 наличии </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eastAsia="Times New Roman" w:cs="Times New Roman"/>
              </w:rPr>
            </w:pPr>
            <w:r>
              <w:rPr>
                <w:rFonts w:eastAsia="Times New Roman" w:cs="Times New Roman" w:ascii="Times New Roman" w:hAnsi="Times New Roman"/>
              </w:rPr>
              <w:t>Копия разрешения на ввод объекта в эксплуатацию</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В наличии</w:t>
            </w:r>
          </w:p>
        </w:tc>
      </w:tr>
    </w:tbl>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cs="Times New Roman"/>
          <w:b/>
        </w:rPr>
      </w:pPr>
      <w:r>
        <w:rPr>
          <w:rFonts w:eastAsia="Times New Roman" w:cs="Times New Roman" w:ascii="Times New Roman" w:hAnsi="Times New Roman"/>
          <w:b/>
        </w:rPr>
        <w:t>Приложение № 11</w:t>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t>Администрация муниципального образования Муринское городское поселение Всеволожского муниципального района Ленинградской области</w:t>
      </w:r>
    </w:p>
    <w:p>
      <w:pPr>
        <w:pStyle w:val="Normal"/>
        <w:spacing w:lineRule="auto" w:line="240" w:before="0" w:after="200"/>
        <w:ind w:firstLine="142"/>
        <w:contextualSpacing/>
        <w:jc w:val="both"/>
        <w:rPr>
          <w:rFonts w:ascii="Times New Roman" w:hAnsi="Times New Roman" w:cs="Times New Roman"/>
        </w:rPr>
      </w:pPr>
      <w:r>
        <w:rPr>
          <w:rFonts w:eastAsia="Times New Roman" w:cs="Times New Roman" w:ascii="Times New Roman" w:hAnsi="Times New Roman"/>
        </w:rPr>
        <w:t xml:space="preserve">1.3.1. </w:t>
      </w:r>
      <w:r>
        <w:rPr>
          <w:rFonts w:eastAsia="Times New Roman" w:cs="Times New Roman" w:ascii="Times New Roman" w:hAnsi="Times New Roman"/>
          <w:b/>
        </w:rPr>
        <w:t>Включение</w:t>
      </w:r>
      <w:r>
        <w:rPr>
          <w:rFonts w:eastAsia="Times New Roman" w:cs="Times New Roman" w:ascii="Times New Roman" w:hAnsi="Times New Roman"/>
        </w:rPr>
        <w:t xml:space="preserve"> в региональную программу многоквартирных домов в случаях, если многоквартирные дома:</w:t>
      </w:r>
    </w:p>
    <w:p>
      <w:pPr>
        <w:pStyle w:val="Normal"/>
        <w:spacing w:lineRule="auto" w:line="240" w:before="240" w:after="200"/>
        <w:ind w:firstLine="142"/>
        <w:contextualSpacing/>
        <w:jc w:val="both"/>
        <w:rPr>
          <w:rFonts w:ascii="Times New Roman" w:hAnsi="Times New Roman" w:cs="Times New Roman"/>
        </w:rPr>
      </w:pPr>
      <w:r>
        <w:rPr>
          <w:rFonts w:eastAsia="Times New Roman" w:cs="Times New Roman" w:ascii="Times New Roman" w:hAnsi="Times New Roman"/>
        </w:rPr>
        <w:t>1) введены в эксплуатацию после завершения строительства или реконструкции;</w:t>
      </w:r>
    </w:p>
    <w:tbl>
      <w:tblPr>
        <w:tblW w:w="15735"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6"/>
        <w:gridCol w:w="12476"/>
        <w:gridCol w:w="2693"/>
      </w:tblGrid>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Мурино, ул. Шувалова, д. 34 </w:t>
            </w:r>
          </w:p>
          <w:p>
            <w:pPr>
              <w:pStyle w:val="Normal"/>
              <w:spacing w:before="0" w:after="200"/>
              <w:contextualSpacing/>
              <w:rPr>
                <w:rFonts w:ascii="Times New Roman" w:hAnsi="Times New Roman" w:cs="Times New Roman"/>
              </w:rPr>
            </w:pPr>
            <w:r>
              <w:rPr>
                <w:rFonts w:eastAsia="Times New Roman" w:cs="Times New Roman" w:ascii="Times New Roman" w:hAnsi="Times New Roman"/>
              </w:rPr>
              <w:t>Дом введен в эксплуатацию в 2024 году, 20 этажей, 208 жилых помещений (квартир), площадь общая – 14555,8 кв.м., (10298,3 кв.м. – площадь жилых помещений), стены – ж/б панели, крыша – плоская, Лифт – 3 ед.</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center"/>
              <w:rPr>
                <w:rFonts w:ascii="Times New Roman" w:hAnsi="Times New Roman" w:cs="Times New Roman"/>
              </w:rPr>
            </w:pPr>
            <w:r>
              <w:rPr>
                <w:rFonts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 наличии </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eastAsia="Times New Roman" w:cs="Times New Roman"/>
              </w:rPr>
            </w:pPr>
            <w:r>
              <w:rPr>
                <w:rFonts w:eastAsia="Times New Roman" w:cs="Times New Roman" w:ascii="Times New Roman" w:hAnsi="Times New Roman"/>
              </w:rPr>
              <w:t>Копия разрешения на ввод объекта в эксплуатацию</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В наличии</w:t>
            </w:r>
          </w:p>
        </w:tc>
      </w:tr>
    </w:tbl>
    <w:p>
      <w:pPr>
        <w:pStyle w:val="Normal"/>
        <w:jc w:val="right"/>
        <w:rPr>
          <w:rFonts w:ascii="Times New Roman" w:hAnsi="Times New Roman" w:eastAsia="Times New Roman" w:cs="Times New Roman"/>
          <w:b/>
          <w:lang w:val="en-US"/>
        </w:rPr>
      </w:pPr>
      <w:r>
        <w:rPr>
          <w:rFonts w:eastAsia="Times New Roman" w:cs="Times New Roman" w:ascii="Times New Roman" w:hAnsi="Times New Roman"/>
          <w:b/>
          <w:lang w:val="en-US"/>
        </w:rPr>
      </w:r>
    </w:p>
    <w:p>
      <w:pPr>
        <w:pStyle w:val="Normal"/>
        <w:jc w:val="right"/>
        <w:rPr>
          <w:rFonts w:ascii="Times New Roman" w:hAnsi="Times New Roman" w:cs="Times New Roman"/>
          <w:b/>
        </w:rPr>
      </w:pPr>
      <w:r>
        <w:rPr>
          <w:rFonts w:eastAsia="Times New Roman" w:cs="Times New Roman" w:ascii="Times New Roman" w:hAnsi="Times New Roman"/>
          <w:b/>
        </w:rPr>
        <w:t>Приложение № 12</w:t>
      </w:r>
    </w:p>
    <w:p>
      <w:pPr>
        <w:pStyle w:val="Normal"/>
        <w:jc w:val="center"/>
        <w:rPr>
          <w:rFonts w:ascii="Times New Roman" w:hAnsi="Times New Roman" w:eastAsia="Times New Roman" w:cs="Times New Roman"/>
          <w:b/>
          <w:bCs/>
        </w:rPr>
      </w:pPr>
      <w:r>
        <w:rPr>
          <w:rFonts w:eastAsia="Times New Roman" w:cs="Times New Roman" w:ascii="Times New Roman" w:hAnsi="Times New Roman"/>
          <w:b/>
        </w:rPr>
        <w:t>Администрация муниципального образования Лисинское сельское поселение Тосненского муниципального района Ленинградской области</w:t>
      </w:r>
    </w:p>
    <w:p>
      <w:pPr>
        <w:pStyle w:val="Normal"/>
        <w:spacing w:before="0" w:after="200"/>
        <w:ind w:firstLine="142"/>
        <w:contextualSpacing/>
        <w:jc w:val="both"/>
        <w:rPr>
          <w:rFonts w:ascii="Times New Roman" w:hAnsi="Times New Roman" w:cs="Times New Roman"/>
        </w:rPr>
      </w:pPr>
      <w:r>
        <w:rPr>
          <w:rFonts w:eastAsia="Times New Roman" w:cs="Times New Roman" w:ascii="Times New Roman" w:hAnsi="Times New Roman"/>
        </w:rPr>
        <w:t xml:space="preserve">1.3.1. </w:t>
      </w:r>
      <w:r>
        <w:rPr>
          <w:rFonts w:eastAsia="Times New Roman" w:cs="Times New Roman" w:ascii="Times New Roman" w:hAnsi="Times New Roman"/>
          <w:b/>
        </w:rPr>
        <w:t>Включение</w:t>
      </w:r>
      <w:r>
        <w:rPr>
          <w:rFonts w:eastAsia="Times New Roman" w:cs="Times New Roman" w:ascii="Times New Roman" w:hAnsi="Times New Roman"/>
        </w:rPr>
        <w:t xml:space="preserve"> в региональную программу многоквартирных домов в случаях, если многоквартирные дома:</w:t>
      </w:r>
    </w:p>
    <w:p>
      <w:pPr>
        <w:pStyle w:val="Normal"/>
        <w:spacing w:before="240" w:after="200"/>
        <w:ind w:firstLine="142"/>
        <w:contextualSpacing/>
        <w:jc w:val="both"/>
        <w:rPr>
          <w:rFonts w:ascii="Times New Roman" w:hAnsi="Times New Roman" w:cs="Times New Roman"/>
        </w:rPr>
      </w:pPr>
      <w:r>
        <w:rPr>
          <w:rFonts w:eastAsia="Times New Roman" w:cs="Times New Roman" w:ascii="Times New Roman" w:hAnsi="Times New Roman"/>
        </w:rPr>
        <w:t>2) ранее не включены в региональную программу в результате технических ошибок;</w:t>
      </w:r>
    </w:p>
    <w:tbl>
      <w:tblPr>
        <w:tblW w:w="15593"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7"/>
        <w:gridCol w:w="12333"/>
        <w:gridCol w:w="2693"/>
      </w:tblGrid>
      <w:tr>
        <w:trPr>
          <w:trHeight w:val="398"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w:t>
            </w:r>
          </w:p>
        </w:tc>
        <w:tc>
          <w:tcPr>
            <w:tcW w:w="1233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Тосненский муниципальный район, пос. Лисино-Корпус, ул. Турского, д. 8</w:t>
            </w:r>
          </w:p>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Дом введен в эксплуатацию в 1993 году, 3 этажа, 27 жилых помещений (квартир), площадь общая – 1849,6 кв.м., (1650,90 кв.м. – площадь жилых помещений), стены – деревянные, крыша – стропильная/рулонный материал.</w:t>
            </w:r>
          </w:p>
          <w:p>
            <w:pPr>
              <w:pStyle w:val="Normal"/>
              <w:spacing w:before="0" w:after="200"/>
              <w:contextualSpacing/>
              <w:rPr>
                <w:rFonts w:ascii="Times New Roman" w:hAnsi="Times New Roman" w:cs="Times New Roman"/>
              </w:rPr>
            </w:pPr>
            <w:r>
              <w:rPr>
                <w:rFonts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rPr>
              <w:t xml:space="preserve">ЭС, </w:t>
            </w:r>
            <w:r>
              <w:rPr>
                <w:rFonts w:cs="Times New Roman" w:ascii="Times New Roman" w:hAnsi="Times New Roman"/>
              </w:rPr>
              <w:t xml:space="preserve">ТС, ХВС, ВО – </w:t>
            </w:r>
          </w:p>
          <w:p>
            <w:pPr>
              <w:pStyle w:val="Normal"/>
              <w:spacing w:before="0" w:after="200"/>
              <w:contextualSpacing/>
              <w:rPr>
                <w:rFonts w:ascii="Times New Roman" w:hAnsi="Times New Roman" w:eastAsia="Times New Roman" w:cs="Times New Roman"/>
              </w:rPr>
            </w:pPr>
            <w:r>
              <w:rPr>
                <w:rFonts w:cs="Times New Roman" w:ascii="Times New Roman" w:hAnsi="Times New Roman"/>
              </w:rPr>
              <w:t xml:space="preserve">Крыша, Подвал, Фасад, Фундамент – </w:t>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center"/>
              <w:rPr>
                <w:rFonts w:ascii="Times New Roman" w:hAnsi="Times New Roman" w:cs="Times New Roman"/>
              </w:rPr>
            </w:pPr>
            <w:r>
              <w:rPr>
                <w:rFonts w:cs="Times New Roman" w:ascii="Times New Roman" w:hAnsi="Times New Roman"/>
              </w:rPr>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 наличии </w:t>
            </w:r>
          </w:p>
        </w:tc>
      </w:tr>
      <w:tr>
        <w:trPr>
          <w:trHeight w:val="12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tc>
      </w:tr>
      <w:tr>
        <w:trPr>
          <w:trHeight w:val="12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eastAsia="Times New Roman" w:cs="Times New Roman"/>
              </w:rPr>
            </w:pPr>
            <w:r>
              <w:rPr>
                <w:rFonts w:eastAsia="Times New Roman" w:cs="Times New Roman" w:ascii="Times New Roman" w:hAnsi="Times New Roman"/>
              </w:rPr>
              <w:t>Копия технического паспорта многоквартирного дома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В наличии</w:t>
            </w:r>
          </w:p>
        </w:tc>
      </w:tr>
    </w:tbl>
    <w:p>
      <w:pPr>
        <w:pStyle w:val="Normal"/>
        <w:jc w:val="right"/>
        <w:rPr>
          <w:rFonts w:ascii="Times New Roman" w:hAnsi="Times New Roman" w:cs="Times New Roman"/>
          <w:b/>
        </w:rPr>
      </w:pPr>
      <w:r>
        <w:rPr>
          <w:rFonts w:eastAsia="Times New Roman" w:cs="Times New Roman" w:ascii="Times New Roman" w:hAnsi="Times New Roman"/>
          <w:b/>
        </w:rPr>
        <w:t>Приложение № 13</w:t>
      </w:r>
    </w:p>
    <w:p>
      <w:pPr>
        <w:pStyle w:val="Normal"/>
        <w:jc w:val="center"/>
        <w:rPr>
          <w:rFonts w:ascii="Times New Roman" w:hAnsi="Times New Roman" w:eastAsia="Times New Roman" w:cs="Times New Roman"/>
          <w:b/>
          <w:bCs/>
        </w:rPr>
      </w:pPr>
      <w:r>
        <w:rPr>
          <w:rFonts w:eastAsia="Times New Roman" w:cs="Times New Roman" w:ascii="Times New Roman" w:hAnsi="Times New Roman"/>
          <w:b/>
        </w:rPr>
        <w:t>Администрация муниципального образования Селезнёвское сельское поселение Выборгского муниципального района Ленинградской области</w:t>
      </w:r>
    </w:p>
    <w:p>
      <w:pPr>
        <w:pStyle w:val="Normal"/>
        <w:spacing w:before="0" w:after="200"/>
        <w:ind w:firstLine="142"/>
        <w:contextualSpacing/>
        <w:jc w:val="both"/>
        <w:rPr>
          <w:rFonts w:ascii="Times New Roman" w:hAnsi="Times New Roman" w:cs="Times New Roman"/>
        </w:rPr>
      </w:pPr>
      <w:r>
        <w:rPr>
          <w:rFonts w:eastAsia="Times New Roman" w:cs="Times New Roman" w:ascii="Times New Roman" w:hAnsi="Times New Roman"/>
        </w:rPr>
        <w:t xml:space="preserve">1.3.1. </w:t>
      </w:r>
      <w:r>
        <w:rPr>
          <w:rFonts w:eastAsia="Times New Roman" w:cs="Times New Roman" w:ascii="Times New Roman" w:hAnsi="Times New Roman"/>
          <w:b/>
        </w:rPr>
        <w:t>Включение</w:t>
      </w:r>
      <w:r>
        <w:rPr>
          <w:rFonts w:eastAsia="Times New Roman" w:cs="Times New Roman" w:ascii="Times New Roman" w:hAnsi="Times New Roman"/>
        </w:rPr>
        <w:t xml:space="preserve"> в региональную программу многоквартирных домов в случаях, если многоквартирные дома:</w:t>
      </w:r>
    </w:p>
    <w:p>
      <w:pPr>
        <w:pStyle w:val="Normal"/>
        <w:spacing w:before="240" w:after="200"/>
        <w:ind w:firstLine="142"/>
        <w:contextualSpacing/>
        <w:jc w:val="both"/>
        <w:rPr>
          <w:rFonts w:ascii="Times New Roman" w:hAnsi="Times New Roman" w:cs="Times New Roman"/>
        </w:rPr>
      </w:pPr>
      <w:r>
        <w:rPr>
          <w:rFonts w:eastAsia="Times New Roman" w:cs="Times New Roman" w:ascii="Times New Roman" w:hAnsi="Times New Roman"/>
        </w:rPr>
        <w:t>2) ранее не включены в региональную программу в результате технических ошибок;</w:t>
      </w:r>
    </w:p>
    <w:tbl>
      <w:tblPr>
        <w:tblW w:w="15593"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7"/>
        <w:gridCol w:w="12333"/>
        <w:gridCol w:w="2693"/>
      </w:tblGrid>
      <w:tr>
        <w:trPr>
          <w:trHeight w:val="398"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w:t>
            </w:r>
          </w:p>
        </w:tc>
        <w:tc>
          <w:tcPr>
            <w:tcW w:w="1233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Выборгский муниципальный район, пос. Новинка, д. 5</w:t>
            </w:r>
          </w:p>
          <w:p>
            <w:pPr>
              <w:pStyle w:val="Normal"/>
              <w:spacing w:before="0" w:after="200"/>
              <w:contextualSpacing/>
              <w:rPr>
                <w:rFonts w:ascii="Times New Roman" w:hAnsi="Times New Roman" w:cs="Times New Roman"/>
              </w:rPr>
            </w:pPr>
            <w:r>
              <w:rPr>
                <w:rFonts w:eastAsia="Times New Roman" w:cs="Times New Roman" w:ascii="Times New Roman" w:hAnsi="Times New Roman"/>
              </w:rPr>
              <w:t>Дом введен в эксплуатацию в 1960 году, 2 этажа, 12 жилых помещений (квартир), площадь общая – 695,6 кв.м.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Не полный комплект</w:t>
            </w:r>
            <w:r>
              <w:rPr>
                <w:rFonts w:cs="Times New Roman" w:ascii="Times New Roman" w:hAnsi="Times New Roman"/>
              </w:rPr>
              <w:t xml:space="preserve"> </w:t>
            </w:r>
          </w:p>
        </w:tc>
      </w:tr>
      <w:tr>
        <w:trPr>
          <w:trHeight w:val="398"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2.</w:t>
            </w:r>
          </w:p>
        </w:tc>
        <w:tc>
          <w:tcPr>
            <w:tcW w:w="1233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Выборгский муниципальный район, пос. Новинка, д. 4</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Дом введен в эксплуатацию в 1960 году, 2 этажа, 12 жилых помещений (квартир), площадь общая – 695,6 кв.м.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Не полный комплект</w:t>
            </w:r>
          </w:p>
        </w:tc>
      </w:tr>
      <w:tr>
        <w:trPr>
          <w:trHeight w:val="398"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3.</w:t>
            </w:r>
          </w:p>
        </w:tc>
        <w:tc>
          <w:tcPr>
            <w:tcW w:w="1233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Выборгский муниципальный район, пос. Новинка, д. 7</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Дом введен в эксплуатацию в 1961 году, 2 этажа, 12 жилых помещений (квартир), площадь общая – 695,6 кв.м.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Не полный комплект</w:t>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center"/>
              <w:rPr>
                <w:rFonts w:ascii="Times New Roman" w:hAnsi="Times New Roman" w:cs="Times New Roman"/>
              </w:rPr>
            </w:pPr>
            <w:r>
              <w:rPr>
                <w:rFonts w:cs="Times New Roman" w:ascii="Times New Roman" w:hAnsi="Times New Roman"/>
              </w:rPr>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 наличии </w:t>
            </w:r>
          </w:p>
        </w:tc>
      </w:tr>
      <w:tr>
        <w:trPr>
          <w:trHeight w:val="12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tc>
      </w:tr>
      <w:tr>
        <w:trPr>
          <w:trHeight w:val="95" w:hRule="atLeast"/>
        </w:trPr>
        <w:tc>
          <w:tcPr>
            <w:tcW w:w="12900" w:type="dxa"/>
            <w:gridSpan w:val="2"/>
            <w:vMerge w:val="restart"/>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eastAsia="Times New Roman" w:cs="Times New Roman"/>
              </w:rPr>
            </w:pPr>
            <w:r>
              <w:rPr>
                <w:rFonts w:eastAsia="Times New Roman" w:cs="Times New Roman" w:ascii="Times New Roman" w:hAnsi="Times New Roman"/>
              </w:rPr>
              <w:t>Копия технического паспорта многоквартирного дома</w:t>
            </w:r>
          </w:p>
        </w:tc>
        <w:tc>
          <w:tcPr>
            <w:tcW w:w="2693" w:type="dxa"/>
            <w:tcBorders>
              <w:top w:val="single" w:sz="4" w:space="0" w:color="000000"/>
              <w:left w:val="single" w:sz="4" w:space="0" w:color="000000"/>
              <w:bottom w:val="single" w:sz="4" w:space="0" w:color="000000"/>
              <w:right w:val="single" w:sz="4" w:space="0" w:color="000000"/>
            </w:tcBorders>
            <w:shd w:color="auto" w:fill="FFFF00" w:val="clea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ОТСУТСТВУЕТ</w:t>
            </w:r>
          </w:p>
        </w:tc>
      </w:tr>
      <w:tr>
        <w:trPr>
          <w:trHeight w:val="95" w:hRule="atLeast"/>
        </w:trPr>
        <w:tc>
          <w:tcPr>
            <w:tcW w:w="12900" w:type="dxa"/>
            <w:gridSpan w:val="2"/>
            <w:vMerge w:val="continue"/>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eastAsia="Times New Roman" w:cs="Times New Roman"/>
              </w:rPr>
            </w:pPr>
            <w:r>
              <w:rPr>
                <w:rFonts w:eastAsia="Times New Roman"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shd w:color="auto" w:fill="FFFF00" w:val="clea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ОТСУТСТВУЕТ</w:t>
            </w:r>
          </w:p>
        </w:tc>
      </w:tr>
      <w:tr>
        <w:trPr>
          <w:trHeight w:val="95" w:hRule="atLeast"/>
        </w:trPr>
        <w:tc>
          <w:tcPr>
            <w:tcW w:w="12900" w:type="dxa"/>
            <w:gridSpan w:val="2"/>
            <w:vMerge w:val="continue"/>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eastAsia="Times New Roman" w:cs="Times New Roman"/>
              </w:rPr>
            </w:pPr>
            <w:r>
              <w:rPr>
                <w:rFonts w:eastAsia="Times New Roman"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shd w:color="auto" w:fill="FFFF00" w:val="clea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ОТСУТСТВУЕТ</w:t>
            </w:r>
          </w:p>
        </w:tc>
      </w:tr>
    </w:tbl>
    <w:p>
      <w:pPr>
        <w:pStyle w:val="Normal"/>
        <w:jc w:val="right"/>
        <w:rPr>
          <w:rFonts w:ascii="Times New Roman" w:hAnsi="Times New Roman" w:eastAsia="Times New Roman" w:cs="Times New Roman"/>
          <w:b/>
        </w:rPr>
      </w:pPr>
      <w:r>
        <w:rPr>
          <w:rFonts w:eastAsia="Times New Roman" w:cs="Times New Roman" w:ascii="Times New Roman" w:hAnsi="Times New Roman"/>
          <w:b/>
        </w:rPr>
      </w:r>
    </w:p>
    <w:p>
      <w:pPr>
        <w:pStyle w:val="Normal"/>
        <w:jc w:val="right"/>
        <w:rPr>
          <w:rFonts w:ascii="Times New Roman" w:hAnsi="Times New Roman" w:eastAsia="Times New Roman" w:cs="Times New Roman"/>
          <w:b/>
        </w:rPr>
      </w:pPr>
      <w:r>
        <w:rPr>
          <w:rFonts w:eastAsia="Times New Roman" w:cs="Times New Roman" w:ascii="Times New Roman" w:hAnsi="Times New Roman"/>
          <w:b/>
        </w:rPr>
      </w:r>
    </w:p>
    <w:p>
      <w:pPr>
        <w:pStyle w:val="Normal"/>
        <w:jc w:val="right"/>
        <w:rPr>
          <w:rFonts w:ascii="Times New Roman" w:hAnsi="Times New Roman" w:eastAsia="Times New Roman" w:cs="Times New Roman"/>
          <w:b/>
        </w:rPr>
      </w:pPr>
      <w:r>
        <w:rPr>
          <w:rFonts w:eastAsia="Times New Roman" w:cs="Times New Roman" w:ascii="Times New Roman" w:hAnsi="Times New Roman"/>
          <w:b/>
        </w:rPr>
      </w:r>
    </w:p>
    <w:p>
      <w:pPr>
        <w:pStyle w:val="Normal"/>
        <w:jc w:val="right"/>
        <w:rPr>
          <w:rFonts w:ascii="Times New Roman" w:hAnsi="Times New Roman" w:eastAsia="Times New Roman" w:cs="Times New Roman"/>
          <w:b/>
        </w:rPr>
      </w:pPr>
      <w:r>
        <w:rPr>
          <w:rFonts w:eastAsia="Times New Roman" w:cs="Times New Roman" w:ascii="Times New Roman" w:hAnsi="Times New Roman"/>
          <w:b/>
        </w:rPr>
      </w:r>
    </w:p>
    <w:p>
      <w:pPr>
        <w:pStyle w:val="Normal"/>
        <w:jc w:val="right"/>
        <w:rPr>
          <w:rFonts w:ascii="Times New Roman" w:hAnsi="Times New Roman" w:eastAsia="Times New Roman" w:cs="Times New Roman"/>
          <w:b/>
        </w:rPr>
      </w:pPr>
      <w:r>
        <w:rPr>
          <w:rFonts w:eastAsia="Times New Roman" w:cs="Times New Roman" w:ascii="Times New Roman" w:hAnsi="Times New Roman"/>
          <w:b/>
        </w:rPr>
      </w:r>
    </w:p>
    <w:p>
      <w:pPr>
        <w:pStyle w:val="Normal"/>
        <w:jc w:val="right"/>
        <w:rPr>
          <w:rFonts w:ascii="Times New Roman" w:hAnsi="Times New Roman" w:eastAsia="Times New Roman" w:cs="Times New Roman"/>
          <w:b/>
        </w:rPr>
      </w:pPr>
      <w:r>
        <w:rPr>
          <w:rFonts w:eastAsia="Times New Roman" w:cs="Times New Roman" w:ascii="Times New Roman" w:hAnsi="Times New Roman"/>
          <w:b/>
        </w:rPr>
      </w:r>
    </w:p>
    <w:p>
      <w:pPr>
        <w:pStyle w:val="Normal"/>
        <w:jc w:val="right"/>
        <w:rPr>
          <w:rFonts w:ascii="Times New Roman" w:hAnsi="Times New Roman" w:eastAsia="Times New Roman" w:cs="Times New Roman"/>
          <w:b/>
        </w:rPr>
      </w:pPr>
      <w:r>
        <w:rPr>
          <w:rFonts w:eastAsia="Times New Roman" w:cs="Times New Roman" w:ascii="Times New Roman" w:hAnsi="Times New Roman"/>
          <w:b/>
        </w:rPr>
      </w:r>
    </w:p>
    <w:p>
      <w:pPr>
        <w:pStyle w:val="Normal"/>
        <w:jc w:val="right"/>
        <w:rPr>
          <w:rFonts w:ascii="Times New Roman" w:hAnsi="Times New Roman" w:eastAsia="Times New Roman" w:cs="Times New Roman"/>
          <w:b/>
        </w:rPr>
      </w:pPr>
      <w:r>
        <w:rPr>
          <w:rFonts w:eastAsia="Times New Roman" w:cs="Times New Roman" w:ascii="Times New Roman" w:hAnsi="Times New Roman"/>
          <w:b/>
        </w:rPr>
      </w:r>
    </w:p>
    <w:p>
      <w:pPr>
        <w:pStyle w:val="Normal"/>
        <w:jc w:val="right"/>
        <w:rPr>
          <w:rFonts w:ascii="Times New Roman" w:hAnsi="Times New Roman" w:eastAsia="Times New Roman" w:cs="Times New Roman"/>
          <w:b/>
        </w:rPr>
      </w:pPr>
      <w:r>
        <w:rPr>
          <w:rFonts w:eastAsia="Times New Roman" w:cs="Times New Roman" w:ascii="Times New Roman" w:hAnsi="Times New Roman"/>
          <w:b/>
        </w:rPr>
      </w:r>
    </w:p>
    <w:p>
      <w:pPr>
        <w:pStyle w:val="Normal"/>
        <w:jc w:val="right"/>
        <w:rPr>
          <w:rFonts w:ascii="Times New Roman" w:hAnsi="Times New Roman" w:cs="Times New Roman"/>
          <w:b/>
        </w:rPr>
      </w:pPr>
      <w:r>
        <w:rPr>
          <w:rFonts w:eastAsia="Times New Roman" w:cs="Times New Roman" w:ascii="Times New Roman" w:hAnsi="Times New Roman"/>
          <w:b/>
        </w:rPr>
        <w:t>Приложение № 14</w:t>
      </w:r>
    </w:p>
    <w:p>
      <w:pPr>
        <w:pStyle w:val="Normal"/>
        <w:jc w:val="center"/>
        <w:rPr>
          <w:rFonts w:ascii="Times New Roman" w:hAnsi="Times New Roman" w:eastAsia="Times New Roman" w:cs="Times New Roman"/>
          <w:b/>
          <w:bCs/>
        </w:rPr>
      </w:pPr>
      <w:r>
        <w:rPr>
          <w:rFonts w:eastAsia="Times New Roman" w:cs="Times New Roman" w:ascii="Times New Roman" w:hAnsi="Times New Roman"/>
          <w:b/>
        </w:rPr>
        <w:t>АО «Жилищно-коммунальное хозяйство пос. им. Морозова» Всеволожского муниципального района Ленинградской области</w:t>
      </w:r>
    </w:p>
    <w:p>
      <w:pPr>
        <w:pStyle w:val="Normal"/>
        <w:spacing w:before="0" w:after="200"/>
        <w:ind w:firstLine="142"/>
        <w:contextualSpacing/>
        <w:jc w:val="both"/>
        <w:rPr>
          <w:rFonts w:ascii="Times New Roman" w:hAnsi="Times New Roman" w:cs="Times New Roman"/>
        </w:rPr>
      </w:pPr>
      <w:r>
        <w:rPr>
          <w:rFonts w:eastAsia="Times New Roman" w:cs="Times New Roman" w:ascii="Times New Roman" w:hAnsi="Times New Roman"/>
        </w:rPr>
        <w:t xml:space="preserve">1.3.1. </w:t>
      </w:r>
      <w:r>
        <w:rPr>
          <w:rFonts w:eastAsia="Times New Roman" w:cs="Times New Roman" w:ascii="Times New Roman" w:hAnsi="Times New Roman"/>
          <w:b/>
        </w:rPr>
        <w:t>Включение</w:t>
      </w:r>
      <w:r>
        <w:rPr>
          <w:rFonts w:eastAsia="Times New Roman" w:cs="Times New Roman" w:ascii="Times New Roman" w:hAnsi="Times New Roman"/>
        </w:rPr>
        <w:t xml:space="preserve"> в региональную программу многоквартирных домов в случаях, если многоквартирные дома:</w:t>
      </w:r>
    </w:p>
    <w:p>
      <w:pPr>
        <w:pStyle w:val="Normal"/>
        <w:spacing w:before="240" w:after="200"/>
        <w:ind w:firstLine="142"/>
        <w:contextualSpacing/>
        <w:jc w:val="both"/>
        <w:rPr>
          <w:rFonts w:ascii="Times New Roman" w:hAnsi="Times New Roman" w:cs="Times New Roman"/>
        </w:rPr>
      </w:pPr>
      <w:r>
        <w:rPr>
          <w:rFonts w:eastAsia="Times New Roman" w:cs="Times New Roman" w:ascii="Times New Roman" w:hAnsi="Times New Roman"/>
        </w:rPr>
        <w:t>2) ранее не включены в региональную программу в результате технических ошибок;</w:t>
      </w:r>
    </w:p>
    <w:tbl>
      <w:tblPr>
        <w:tblW w:w="15593"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7"/>
        <w:gridCol w:w="12333"/>
        <w:gridCol w:w="2693"/>
      </w:tblGrid>
      <w:tr>
        <w:trPr>
          <w:trHeight w:val="398"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w:t>
            </w:r>
          </w:p>
        </w:tc>
        <w:tc>
          <w:tcPr>
            <w:tcW w:w="1233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Всеволожский муниципальный район, г. п. им. Морозова, ул. Первомайская, д. 16</w:t>
            </w:r>
          </w:p>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Дом введен в эксплуатацию в 2012 году, 4 этажа, 45 жилых помещений (квартир), площадь общая – 3919,7 кв.м. (3273,40 кв.м. – площадь жилых помещений), стены – кирпичные, крыша – двускатная.</w:t>
            </w:r>
          </w:p>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center"/>
              <w:rPr>
                <w:rFonts w:ascii="Times New Roman" w:hAnsi="Times New Roman" w:cs="Times New Roman"/>
              </w:rPr>
            </w:pPr>
            <w:r>
              <w:rPr>
                <w:rFonts w:cs="Times New Roman" w:ascii="Times New Roman" w:hAnsi="Times New Roman"/>
              </w:rPr>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 наличии </w:t>
            </w:r>
          </w:p>
        </w:tc>
      </w:tr>
      <w:tr>
        <w:trPr>
          <w:trHeight w:val="12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tc>
      </w:tr>
      <w:tr>
        <w:trPr>
          <w:trHeight w:val="36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eastAsia="Times New Roman" w:cs="Times New Roman"/>
              </w:rPr>
            </w:pPr>
            <w:r>
              <w:rPr>
                <w:rFonts w:eastAsia="Times New Roman" w:cs="Times New Roman" w:ascii="Times New Roman" w:hAnsi="Times New Roman"/>
              </w:rPr>
              <w:t>Копия технического паспорта многоквартирного дома</w:t>
            </w:r>
          </w:p>
        </w:tc>
        <w:tc>
          <w:tcPr>
            <w:tcW w:w="2693"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 наличии </w:t>
            </w:r>
          </w:p>
        </w:tc>
      </w:tr>
    </w:tbl>
    <w:p>
      <w:pPr>
        <w:pStyle w:val="Normal"/>
        <w:spacing w:before="0" w:after="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before="0" w:after="0"/>
        <w:jc w:val="right"/>
        <w:rPr>
          <w:rFonts w:ascii="Times New Roman" w:hAnsi="Times New Roman" w:cs="Times New Roman"/>
          <w:b/>
        </w:rPr>
      </w:pPr>
      <w:r>
        <w:rPr>
          <w:rFonts w:eastAsia="Times New Roman" w:cs="Times New Roman" w:ascii="Times New Roman" w:hAnsi="Times New Roman"/>
          <w:b/>
        </w:rPr>
        <w:t>Приложение № 15</w:t>
      </w:r>
    </w:p>
    <w:p>
      <w:pPr>
        <w:pStyle w:val="Normal"/>
        <w:spacing w:before="0" w:after="0"/>
        <w:jc w:val="center"/>
        <w:rPr>
          <w:rFonts w:ascii="Times New Roman" w:hAnsi="Times New Roman" w:eastAsia="Times New Roman" w:cs="Times New Roman"/>
          <w:b/>
          <w:bCs/>
        </w:rPr>
      </w:pPr>
      <w:r>
        <w:rPr>
          <w:rFonts w:eastAsia="Times New Roman" w:cs="Times New Roman" w:ascii="Times New Roman" w:hAnsi="Times New Roman"/>
          <w:b/>
        </w:rPr>
        <w:t>Управляющая организация ООО «СтройАльянс» Всеволожского муниципального района Ленинградской области</w:t>
      </w:r>
    </w:p>
    <w:p>
      <w:pPr>
        <w:pStyle w:val="Normal"/>
        <w:spacing w:before="0" w:after="0"/>
        <w:ind w:firstLine="142"/>
        <w:contextualSpacing/>
        <w:jc w:val="both"/>
        <w:rPr>
          <w:rFonts w:ascii="Times New Roman" w:hAnsi="Times New Roman" w:cs="Times New Roman"/>
        </w:rPr>
      </w:pPr>
      <w:r>
        <w:rPr>
          <w:rFonts w:eastAsia="Times New Roman" w:cs="Times New Roman" w:ascii="Times New Roman" w:hAnsi="Times New Roman"/>
        </w:rPr>
        <w:t xml:space="preserve">1.3.1. </w:t>
      </w:r>
      <w:r>
        <w:rPr>
          <w:rFonts w:eastAsia="Times New Roman" w:cs="Times New Roman" w:ascii="Times New Roman" w:hAnsi="Times New Roman"/>
          <w:b/>
        </w:rPr>
        <w:t>Включение</w:t>
      </w:r>
      <w:r>
        <w:rPr>
          <w:rFonts w:eastAsia="Times New Roman" w:cs="Times New Roman" w:ascii="Times New Roman" w:hAnsi="Times New Roman"/>
        </w:rPr>
        <w:t xml:space="preserve"> в региональную программу многоквартирных домов в случаях, если многоквартирные дома:</w:t>
      </w:r>
    </w:p>
    <w:p>
      <w:pPr>
        <w:pStyle w:val="Normal"/>
        <w:spacing w:before="240" w:after="200"/>
        <w:ind w:firstLine="142"/>
        <w:contextualSpacing/>
        <w:jc w:val="both"/>
        <w:rPr>
          <w:rFonts w:ascii="Times New Roman" w:hAnsi="Times New Roman" w:cs="Times New Roman"/>
        </w:rPr>
      </w:pPr>
      <w:r>
        <w:rPr>
          <w:rFonts w:eastAsia="Times New Roman" w:cs="Times New Roman" w:ascii="Times New Roman" w:hAnsi="Times New Roman"/>
        </w:rPr>
        <w:t>2) ранее не включены в региональную программу в результате технических ошибок;</w:t>
      </w:r>
    </w:p>
    <w:tbl>
      <w:tblPr>
        <w:tblW w:w="15593"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7"/>
        <w:gridCol w:w="12333"/>
        <w:gridCol w:w="2693"/>
      </w:tblGrid>
      <w:tr>
        <w:trPr>
          <w:trHeight w:val="398"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w:t>
            </w:r>
          </w:p>
        </w:tc>
        <w:tc>
          <w:tcPr>
            <w:tcW w:w="1233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Всеволожский муниципальный район, д. Васкелово, д. 3</w:t>
            </w:r>
          </w:p>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Дом введен в эксплуатацию в 1963 году, 4 этажа, 45 жилых помещений (квартир), площадь общая – 3919,7 кв.м. (3273,40 кв.м. – площадь жилых помещений), стены – кирпичные, крыша – двускатная.</w:t>
            </w:r>
          </w:p>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ЭС, Крыша, Фасад, Фундамент + ПИРы</w:t>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center"/>
              <w:rPr>
                <w:rFonts w:ascii="Times New Roman" w:hAnsi="Times New Roman" w:cs="Times New Roman"/>
              </w:rPr>
            </w:pPr>
            <w:r>
              <w:rPr>
                <w:rFonts w:cs="Times New Roman" w:ascii="Times New Roman" w:hAnsi="Times New Roman"/>
              </w:rPr>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 наличии </w:t>
            </w:r>
          </w:p>
        </w:tc>
      </w:tr>
      <w:tr>
        <w:trPr>
          <w:trHeight w:val="12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tc>
      </w:tr>
      <w:tr>
        <w:trPr>
          <w:trHeight w:val="36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eastAsia="Times New Roman" w:cs="Times New Roman"/>
              </w:rPr>
            </w:pPr>
            <w:r>
              <w:rPr>
                <w:rFonts w:eastAsia="Times New Roman" w:cs="Times New Roman" w:ascii="Times New Roman" w:hAnsi="Times New Roman"/>
              </w:rPr>
              <w:t>Копия технического паспорта многоквартирного дома</w:t>
            </w:r>
          </w:p>
        </w:tc>
        <w:tc>
          <w:tcPr>
            <w:tcW w:w="2693"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 наличии </w:t>
            </w:r>
          </w:p>
        </w:tc>
      </w:tr>
    </w:tbl>
    <w:p>
      <w:pPr>
        <w:pStyle w:val="Normal"/>
        <w:spacing w:lineRule="auto" w:line="240"/>
        <w:jc w:val="right"/>
        <w:rPr>
          <w:rFonts w:ascii="Times New Roman" w:hAnsi="Times New Roman" w:cs="Times New Roman"/>
          <w:b/>
        </w:rPr>
      </w:pPr>
      <w:r>
        <w:rPr>
          <w:rFonts w:eastAsia="Times New Roman" w:cs="Times New Roman" w:ascii="Times New Roman" w:hAnsi="Times New Roman"/>
          <w:b/>
        </w:rPr>
        <w:t>Приложение № 16</w:t>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t>Администрация муниципального образования «Токсовское городское поселение» Всеволожского муниципального района Ленинградской области</w:t>
      </w:r>
    </w:p>
    <w:p>
      <w:pPr>
        <w:pStyle w:val="Normal"/>
        <w:spacing w:lineRule="auto" w:line="240" w:before="0" w:after="200"/>
        <w:ind w:firstLine="142"/>
        <w:contextualSpacing/>
        <w:jc w:val="both"/>
        <w:rPr>
          <w:rFonts w:ascii="Times New Roman" w:hAnsi="Times New Roman" w:cs="Times New Roman"/>
        </w:rPr>
      </w:pPr>
      <w:r>
        <w:rPr>
          <w:rFonts w:eastAsia="Times New Roman" w:cs="Times New Roman" w:ascii="Times New Roman" w:hAnsi="Times New Roman"/>
        </w:rPr>
        <w:t xml:space="preserve">1.3.1. </w:t>
      </w:r>
      <w:r>
        <w:rPr>
          <w:rFonts w:eastAsia="Times New Roman" w:cs="Times New Roman" w:ascii="Times New Roman" w:hAnsi="Times New Roman"/>
          <w:b/>
        </w:rPr>
        <w:t>Включение</w:t>
      </w:r>
      <w:r>
        <w:rPr>
          <w:rFonts w:eastAsia="Times New Roman" w:cs="Times New Roman" w:ascii="Times New Roman" w:hAnsi="Times New Roman"/>
        </w:rPr>
        <w:t xml:space="preserve"> в региональную программу многоквартирных домов в случаях, если многоквартирные дома:</w:t>
      </w:r>
    </w:p>
    <w:p>
      <w:pPr>
        <w:pStyle w:val="Normal"/>
        <w:spacing w:lineRule="auto" w:line="240" w:before="240" w:after="200"/>
        <w:ind w:firstLine="142"/>
        <w:contextualSpacing/>
        <w:jc w:val="both"/>
        <w:rPr>
          <w:rFonts w:ascii="Times New Roman" w:hAnsi="Times New Roman" w:cs="Times New Roman"/>
        </w:rPr>
      </w:pPr>
      <w:r>
        <w:rPr>
          <w:rFonts w:eastAsia="Times New Roman" w:cs="Times New Roman" w:ascii="Times New Roman" w:hAnsi="Times New Roman"/>
        </w:rPr>
        <w:t>1) введены в эксплуатацию после завершения строительства или реконструкции;</w:t>
      </w:r>
    </w:p>
    <w:tbl>
      <w:tblPr>
        <w:tblW w:w="15735"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6"/>
        <w:gridCol w:w="12476"/>
        <w:gridCol w:w="2693"/>
      </w:tblGrid>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bookmarkStart w:id="0" w:name="_Hlk240881670"/>
            <w:r>
              <w:rPr>
                <w:rFonts w:eastAsia="Times New Roman" w:cs="Times New Roman" w:ascii="Times New Roman" w:hAnsi="Times New Roman"/>
                <w:b/>
              </w:rPr>
              <w:t xml:space="preserve">Всеволожский муниципальный район, г. п. Токсово, ул. Дорожников, д. 28Г, корп. 1 </w:t>
            </w:r>
            <w:bookmarkEnd w:id="0"/>
          </w:p>
          <w:p>
            <w:pPr>
              <w:pStyle w:val="Normal"/>
              <w:spacing w:before="0" w:after="200"/>
              <w:contextualSpacing/>
              <w:rPr>
                <w:rFonts w:ascii="Times New Roman" w:hAnsi="Times New Roman" w:cs="Times New Roman"/>
              </w:rPr>
            </w:pPr>
            <w:r>
              <w:rPr>
                <w:rFonts w:eastAsia="Times New Roman" w:cs="Times New Roman" w:ascii="Times New Roman" w:hAnsi="Times New Roman"/>
              </w:rPr>
              <w:t xml:space="preserve">Дом введен в эксплуатацию в 2017 году, 3 этажа, 38 жилых помещений (квартир), площадь общая – 2238,7 кв.м., (1848,4 кв.м. – площадь жилых помещений), стены – газобетон, крыша – плоская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cs="Times New Roman" w:ascii="Times New Roman" w:hAnsi="Times New Roman"/>
              </w:rPr>
              <w:t xml:space="preserve"> </w:t>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2.</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п. Токсово, ул. Дорожников, д. 28Г, корп. 2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2021 году, 3 этажа, 33 жилых помещений (квартир), площадь общая – 2287,5 кв.м., (1744,5 кв.м. – площадь жилых помещений), стены – газобетон, крыша – плоская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3.</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п. Токсово, ул. Дорожников, д. 28Г, корп. 3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2021 году, 3 этажа, 33 жилых помещений (квартир), площадь общая – 2287,5 кв.м., (1735,8 кв.м. – площадь жилых помещений), стены – газобетон, крыша – плоская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4.</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п. Токсово, ул. Дорожников, д. 28Г, корп. 4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3 этажа, 18 жилых помещений (квартир), площадь общая – 1298,5 кв.м., (923,73 кв.м. – площадь жилых помещений), стены – газобетон, крыша – плоская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5.</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Всеволожский муниципальный район, г. п. Токсово, ул. Дорожников, д. 28Г, корп. 5</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3 этажа, 33 жилых помещений (квартир), площадь общая – 2451,5 кв.м., (1779,6 кв.м. – площадь жилых помещений), стены – газобетон, крыша – плоская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6.</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Всеволожский муниципальный район, г. п. Токсово, ул. Дорожников, д. 28Г, корп. 6</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 xml:space="preserve">Дом введен в эксплуатацию в 2025 году, 3 этажа, 33 жилых помещений (квартир), площадь общая – 2419,8 кв.м., (1752,2 кв.м. – площадь жилых помещений), стены – газобетон, крыша – плоская </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center"/>
              <w:rPr>
                <w:rFonts w:ascii="Times New Roman" w:hAnsi="Times New Roman" w:cs="Times New Roman"/>
              </w:rPr>
            </w:pPr>
            <w:r>
              <w:rPr>
                <w:rFonts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 наличии </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eastAsia="Times New Roman" w:cs="Times New Roman"/>
              </w:rPr>
            </w:pPr>
            <w:r>
              <w:rPr>
                <w:rFonts w:eastAsia="Times New Roman" w:cs="Times New Roman" w:ascii="Times New Roman" w:hAnsi="Times New Roman"/>
              </w:rPr>
              <w:t>Копия разрешения на ввод объекта в эксплуатацию</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В наличии</w:t>
            </w:r>
          </w:p>
        </w:tc>
      </w:tr>
    </w:tbl>
    <w:p>
      <w:pPr>
        <w:pStyle w:val="Normal"/>
        <w:jc w:val="right"/>
        <w:rPr>
          <w:rFonts w:ascii="Times New Roman" w:hAnsi="Times New Roman" w:eastAsia="Times New Roman" w:cs="Times New Roman"/>
          <w:b/>
        </w:rPr>
      </w:pPr>
      <w:r>
        <w:rPr>
          <w:rFonts w:eastAsia="Times New Roman" w:cs="Times New Roman" w:ascii="Times New Roman" w:hAnsi="Times New Roman"/>
          <w:b/>
        </w:rPr>
      </w:r>
    </w:p>
    <w:p>
      <w:pPr>
        <w:pStyle w:val="Normal"/>
        <w:jc w:val="right"/>
        <w:rPr>
          <w:rFonts w:ascii="Times New Roman" w:hAnsi="Times New Roman" w:eastAsia="Times New Roman" w:cs="Times New Roman"/>
          <w:b/>
        </w:rPr>
      </w:pPr>
      <w:r>
        <w:rPr>
          <w:rFonts w:eastAsia="Times New Roman" w:cs="Times New Roman" w:ascii="Times New Roman" w:hAnsi="Times New Roman"/>
          <w:b/>
        </w:rPr>
      </w:r>
    </w:p>
    <w:p>
      <w:pPr>
        <w:pStyle w:val="Normal"/>
        <w:jc w:val="right"/>
        <w:rPr>
          <w:rFonts w:ascii="Times New Roman" w:hAnsi="Times New Roman" w:eastAsia="Times New Roman" w:cs="Times New Roman"/>
          <w:b/>
        </w:rPr>
      </w:pPr>
      <w:r>
        <w:rPr>
          <w:rFonts w:eastAsia="Times New Roman" w:cs="Times New Roman" w:ascii="Times New Roman" w:hAnsi="Times New Roman"/>
          <w:b/>
        </w:rPr>
      </w:r>
    </w:p>
    <w:p>
      <w:pPr>
        <w:pStyle w:val="Normal"/>
        <w:jc w:val="right"/>
        <w:rPr>
          <w:rFonts w:ascii="Times New Roman" w:hAnsi="Times New Roman" w:cs="Times New Roman"/>
          <w:b/>
        </w:rPr>
      </w:pPr>
      <w:r>
        <w:rPr>
          <w:rFonts w:eastAsia="Times New Roman" w:cs="Times New Roman" w:ascii="Times New Roman" w:hAnsi="Times New Roman"/>
          <w:b/>
        </w:rPr>
        <w:t>Приложение № 17</w:t>
      </w:r>
    </w:p>
    <w:p>
      <w:pPr>
        <w:pStyle w:val="Normal"/>
        <w:jc w:val="center"/>
        <w:rPr>
          <w:rFonts w:ascii="Times New Roman" w:hAnsi="Times New Roman" w:eastAsia="Times New Roman" w:cs="Times New Roman"/>
          <w:b/>
          <w:bCs/>
        </w:rPr>
      </w:pPr>
      <w:r>
        <w:rPr>
          <w:rFonts w:eastAsia="Times New Roman" w:cs="Times New Roman" w:ascii="Times New Roman" w:hAnsi="Times New Roman"/>
          <w:b/>
        </w:rPr>
        <w:t>Администрация муниципального образования Никольское городское поселение Тосненского муниципального района Ленинградской области</w:t>
      </w:r>
    </w:p>
    <w:p>
      <w:pPr>
        <w:pStyle w:val="Normal"/>
        <w:spacing w:before="0" w:after="200"/>
        <w:ind w:firstLine="142"/>
        <w:contextualSpacing/>
        <w:jc w:val="both"/>
        <w:rPr>
          <w:rFonts w:ascii="Times New Roman" w:hAnsi="Times New Roman" w:cs="Times New Roman"/>
        </w:rPr>
      </w:pPr>
      <w:r>
        <w:rPr>
          <w:rFonts w:eastAsia="Times New Roman" w:cs="Times New Roman" w:ascii="Times New Roman" w:hAnsi="Times New Roman"/>
        </w:rPr>
        <w:t xml:space="preserve">1.3.1. </w:t>
      </w:r>
      <w:r>
        <w:rPr>
          <w:rFonts w:eastAsia="Times New Roman" w:cs="Times New Roman" w:ascii="Times New Roman" w:hAnsi="Times New Roman"/>
          <w:b/>
        </w:rPr>
        <w:t>Включение</w:t>
      </w:r>
      <w:r>
        <w:rPr>
          <w:rFonts w:eastAsia="Times New Roman" w:cs="Times New Roman" w:ascii="Times New Roman" w:hAnsi="Times New Roman"/>
        </w:rPr>
        <w:t xml:space="preserve"> в региональную программу многоквартирных домов в случаях, если многоквартирные дома:</w:t>
      </w:r>
    </w:p>
    <w:p>
      <w:pPr>
        <w:pStyle w:val="Normal"/>
        <w:spacing w:before="240" w:after="200"/>
        <w:ind w:firstLine="142"/>
        <w:contextualSpacing/>
        <w:jc w:val="both"/>
        <w:rPr>
          <w:rFonts w:ascii="Times New Roman" w:hAnsi="Times New Roman" w:cs="Times New Roman"/>
        </w:rPr>
      </w:pPr>
      <w:r>
        <w:rPr>
          <w:rFonts w:eastAsia="Times New Roman" w:cs="Times New Roman" w:ascii="Times New Roman" w:hAnsi="Times New Roman"/>
        </w:rPr>
        <w:t>2) ранее не включены в региональную программу в результате технических ошибок;</w:t>
      </w:r>
    </w:p>
    <w:tbl>
      <w:tblPr>
        <w:tblW w:w="15593"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7"/>
        <w:gridCol w:w="12333"/>
        <w:gridCol w:w="2693"/>
      </w:tblGrid>
      <w:tr>
        <w:trPr>
          <w:trHeight w:val="398"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w:t>
            </w:r>
          </w:p>
        </w:tc>
        <w:tc>
          <w:tcPr>
            <w:tcW w:w="1233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Тосненский муниципальный район, г. Никольское, ул. Октябрьская, д. 15</w:t>
            </w:r>
          </w:p>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t>Дом введен в эксплуатацию в 2016 году, 15 этажей, 355 жилых помещений (квартир), площадь общая – 14484,00 кв.м. (9984,70 кв.м. – площадь жилых помещений), стены – кирпичные, крыша – плоская, Лифт – 4 ед.</w:t>
            </w:r>
          </w:p>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center"/>
              <w:rPr>
                <w:rFonts w:ascii="Times New Roman" w:hAnsi="Times New Roman" w:cs="Times New Roman"/>
              </w:rPr>
            </w:pPr>
            <w:r>
              <w:rPr>
                <w:rFonts w:cs="Times New Roman" w:ascii="Times New Roman" w:hAnsi="Times New Roman"/>
              </w:rPr>
            </w:r>
          </w:p>
        </w:tc>
      </w:tr>
      <w:tr>
        <w:trPr>
          <w:trHeight w:val="8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 наличии </w:t>
            </w:r>
          </w:p>
        </w:tc>
      </w:tr>
      <w:tr>
        <w:trPr>
          <w:trHeight w:val="12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tc>
      </w:tr>
      <w:tr>
        <w:trPr>
          <w:trHeight w:val="365" w:hRule="atLeast"/>
        </w:trPr>
        <w:tc>
          <w:tcPr>
            <w:tcW w:w="12900"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eastAsia="Times New Roman" w:cs="Times New Roman"/>
              </w:rPr>
            </w:pPr>
            <w:r>
              <w:rPr>
                <w:rFonts w:eastAsia="Times New Roman" w:cs="Times New Roman" w:ascii="Times New Roman" w:hAnsi="Times New Roman"/>
              </w:rPr>
              <w:t>Копия технического паспорта многоквартирного дома</w:t>
            </w:r>
          </w:p>
        </w:tc>
        <w:tc>
          <w:tcPr>
            <w:tcW w:w="2693"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 наличии </w:t>
            </w:r>
          </w:p>
        </w:tc>
      </w:tr>
    </w:tbl>
    <w:p>
      <w:pPr>
        <w:pStyle w:val="Normal"/>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cs="Times New Roman"/>
          <w:b/>
        </w:rPr>
      </w:pPr>
      <w:r>
        <w:rPr>
          <w:rFonts w:eastAsia="Times New Roman" w:cs="Times New Roman" w:ascii="Times New Roman" w:hAnsi="Times New Roman"/>
          <w:b/>
        </w:rPr>
        <w:t>Приложение № 18</w:t>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t>Администрация муниципального образования «Виллозское городское поселение» Ломоносовского муниципального района Ленинградской области</w:t>
      </w:r>
    </w:p>
    <w:p>
      <w:pPr>
        <w:pStyle w:val="Normal"/>
        <w:spacing w:lineRule="auto" w:line="240" w:before="0" w:after="200"/>
        <w:ind w:firstLine="142"/>
        <w:contextualSpacing/>
        <w:jc w:val="both"/>
        <w:rPr>
          <w:rFonts w:ascii="Times New Roman" w:hAnsi="Times New Roman" w:cs="Times New Roman"/>
        </w:rPr>
      </w:pPr>
      <w:r>
        <w:rPr>
          <w:rFonts w:eastAsia="Times New Roman" w:cs="Times New Roman" w:ascii="Times New Roman" w:hAnsi="Times New Roman"/>
        </w:rPr>
        <w:t xml:space="preserve">1.3.1. </w:t>
      </w:r>
      <w:r>
        <w:rPr>
          <w:rFonts w:eastAsia="Times New Roman" w:cs="Times New Roman" w:ascii="Times New Roman" w:hAnsi="Times New Roman"/>
          <w:b/>
        </w:rPr>
        <w:t>Включение</w:t>
      </w:r>
      <w:r>
        <w:rPr>
          <w:rFonts w:eastAsia="Times New Roman" w:cs="Times New Roman" w:ascii="Times New Roman" w:hAnsi="Times New Roman"/>
        </w:rPr>
        <w:t xml:space="preserve"> в региональную программу многоквартирных домов в случаях, если многоквартирные дома:</w:t>
      </w:r>
    </w:p>
    <w:p>
      <w:pPr>
        <w:pStyle w:val="Normal"/>
        <w:spacing w:lineRule="auto" w:line="240" w:before="240" w:after="200"/>
        <w:ind w:firstLine="142"/>
        <w:contextualSpacing/>
        <w:jc w:val="both"/>
        <w:rPr>
          <w:rFonts w:ascii="Times New Roman" w:hAnsi="Times New Roman" w:cs="Times New Roman"/>
        </w:rPr>
      </w:pPr>
      <w:r>
        <w:rPr>
          <w:rFonts w:eastAsia="Times New Roman" w:cs="Times New Roman" w:ascii="Times New Roman" w:hAnsi="Times New Roman"/>
        </w:rPr>
        <w:t>1) введены в эксплуатацию после завершения строительства или реконструкции;</w:t>
      </w:r>
    </w:p>
    <w:tbl>
      <w:tblPr>
        <w:tblW w:w="15735"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6"/>
        <w:gridCol w:w="12476"/>
        <w:gridCol w:w="2693"/>
      </w:tblGrid>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bookmarkStart w:id="1" w:name="_Hlk240882201"/>
            <w:r>
              <w:rPr>
                <w:rFonts w:eastAsia="Times New Roman" w:cs="Times New Roman" w:ascii="Times New Roman" w:hAnsi="Times New Roman"/>
                <w:b/>
              </w:rPr>
              <w:t xml:space="preserve">Ломоносовский муниципальный район, п. Новогорелово, ул. Современников, д. 11/6. </w:t>
            </w:r>
            <w:bookmarkEnd w:id="1"/>
          </w:p>
          <w:p>
            <w:pPr>
              <w:pStyle w:val="Normal"/>
              <w:spacing w:before="0" w:after="200"/>
              <w:contextualSpacing/>
              <w:rPr>
                <w:rFonts w:ascii="Times New Roman" w:hAnsi="Times New Roman" w:cs="Times New Roman"/>
              </w:rPr>
            </w:pPr>
            <w:r>
              <w:rPr>
                <w:rFonts w:eastAsia="Times New Roman" w:cs="Times New Roman" w:ascii="Times New Roman" w:hAnsi="Times New Roman"/>
              </w:rPr>
              <w:t>Дом введен в эксплуатацию в 2018 году, 18 этажей, 330 жилых помещений (квартир), площадь общая – 31814,0 кв.м., (16756,2 кв.м. – площадь жилых помещений), стены – монолит, крыша – плоская, лифты – 8 ед.</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2.</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Ломоносовский муниципальный район, п. Новогорелово, ул. Современников, д. 11/6, к. 2.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Дом введен в эксплуатацию в 2018 году, 18 этажей, 270 жилых помещений (квартир), площадь общая – 24842,80 кв.м., (12636,7 кв.м. – площадь жилых помещений), стены – монолит, крыша – плоская, лифты – 6 ед.</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3.</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Ломоносовский муниципальный район, п. Новогорелово, ул. Современников, д. 11/6, к. 3.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Дом введен в эксплуатацию в 2019 году, 17-18 этажей, 350 жилых помещений (квартир), площадь общая – 28797,90 кв.м., (14618,0 кв.м. – площадь жилых помещений), стены – монолит, крыша – плоская, лифты – 6 ед.</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center"/>
              <w:rPr>
                <w:rFonts w:ascii="Times New Roman" w:hAnsi="Times New Roman" w:cs="Times New Roman"/>
              </w:rPr>
            </w:pPr>
            <w:r>
              <w:rPr>
                <w:rFonts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 наличии </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eastAsia="Times New Roman" w:cs="Times New Roman"/>
              </w:rPr>
            </w:pPr>
            <w:r>
              <w:rPr>
                <w:rFonts w:eastAsia="Times New Roman" w:cs="Times New Roman" w:ascii="Times New Roman" w:hAnsi="Times New Roman"/>
              </w:rPr>
              <w:t>Копия разрешения на ввод объекта в эксплуатацию</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В наличии</w:t>
            </w:r>
          </w:p>
        </w:tc>
      </w:tr>
    </w:tbl>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cs="Times New Roman"/>
          <w:b/>
        </w:rPr>
      </w:pPr>
      <w:r>
        <w:rPr>
          <w:rFonts w:eastAsia="Times New Roman" w:cs="Times New Roman" w:ascii="Times New Roman" w:hAnsi="Times New Roman"/>
          <w:b/>
        </w:rPr>
        <w:t>Приложение № 19</w:t>
      </w:r>
    </w:p>
    <w:p>
      <w:pPr>
        <w:pStyle w:val="Normal"/>
        <w:spacing w:lineRule="auto" w:line="240"/>
        <w:jc w:val="center"/>
        <w:rPr>
          <w:rFonts w:ascii="Times New Roman" w:hAnsi="Times New Roman" w:eastAsia="Times New Roman" w:cs="Times New Roman"/>
          <w:b/>
        </w:rPr>
      </w:pPr>
      <w:r>
        <w:rPr>
          <w:rFonts w:eastAsia="Times New Roman" w:cs="Times New Roman" w:ascii="Times New Roman" w:hAnsi="Times New Roman"/>
          <w:b/>
        </w:rPr>
        <w:t>Администрация муниципального образования «Заневское городское поселение» Всеволожского муниципального района Ленинградской области</w:t>
      </w:r>
    </w:p>
    <w:p>
      <w:pPr>
        <w:pStyle w:val="Normal"/>
        <w:spacing w:lineRule="auto" w:line="240" w:before="0" w:after="200"/>
        <w:ind w:firstLine="142"/>
        <w:contextualSpacing/>
        <w:jc w:val="both"/>
        <w:rPr>
          <w:rFonts w:ascii="Times New Roman" w:hAnsi="Times New Roman" w:cs="Times New Roman"/>
        </w:rPr>
      </w:pPr>
      <w:r>
        <w:rPr>
          <w:rFonts w:eastAsia="Times New Roman" w:cs="Times New Roman" w:ascii="Times New Roman" w:hAnsi="Times New Roman"/>
        </w:rPr>
        <w:t xml:space="preserve">1.3.1. </w:t>
      </w:r>
      <w:r>
        <w:rPr>
          <w:rFonts w:eastAsia="Times New Roman" w:cs="Times New Roman" w:ascii="Times New Roman" w:hAnsi="Times New Roman"/>
          <w:b/>
        </w:rPr>
        <w:t>Включение</w:t>
      </w:r>
      <w:r>
        <w:rPr>
          <w:rFonts w:eastAsia="Times New Roman" w:cs="Times New Roman" w:ascii="Times New Roman" w:hAnsi="Times New Roman"/>
        </w:rPr>
        <w:t xml:space="preserve"> в региональную программу многоквартирных домов в случаях, если многоквартирные дома:</w:t>
      </w:r>
    </w:p>
    <w:p>
      <w:pPr>
        <w:pStyle w:val="Normal"/>
        <w:spacing w:lineRule="auto" w:line="240" w:before="240" w:after="200"/>
        <w:ind w:firstLine="142"/>
        <w:contextualSpacing/>
        <w:jc w:val="both"/>
        <w:rPr>
          <w:rFonts w:ascii="Times New Roman" w:hAnsi="Times New Roman" w:cs="Times New Roman"/>
        </w:rPr>
      </w:pPr>
      <w:r>
        <w:rPr>
          <w:rFonts w:eastAsia="Times New Roman" w:cs="Times New Roman" w:ascii="Times New Roman" w:hAnsi="Times New Roman"/>
        </w:rPr>
        <w:t>1) введены в эксплуатацию после завершения строительства или реконструкции;</w:t>
      </w:r>
    </w:p>
    <w:tbl>
      <w:tblPr>
        <w:tblW w:w="15735"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566"/>
        <w:gridCol w:w="12476"/>
        <w:gridCol w:w="2693"/>
      </w:tblGrid>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1.</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bookmarkStart w:id="2" w:name="_Hlk240882350"/>
            <w:r>
              <w:rPr>
                <w:rFonts w:eastAsia="Times New Roman" w:cs="Times New Roman" w:ascii="Times New Roman" w:hAnsi="Times New Roman"/>
                <w:b/>
              </w:rPr>
              <w:t xml:space="preserve">Всеволожский муниципальный район, г. Кудрово, ул. Солнечная, д. 2 </w:t>
            </w:r>
            <w:bookmarkEnd w:id="2"/>
          </w:p>
          <w:p>
            <w:pPr>
              <w:pStyle w:val="Normal"/>
              <w:spacing w:before="0" w:after="200"/>
              <w:contextualSpacing/>
              <w:rPr>
                <w:rFonts w:ascii="Times New Roman" w:hAnsi="Times New Roman" w:cs="Times New Roman"/>
              </w:rPr>
            </w:pPr>
            <w:r>
              <w:rPr>
                <w:rFonts w:eastAsia="Times New Roman" w:cs="Times New Roman" w:ascii="Times New Roman" w:hAnsi="Times New Roman"/>
              </w:rPr>
              <w:t>Дом введен в эксплуатацию в 2024 году, 12 этажей, 622 жилых помещений (квартир), площадь общая – 42058,4 кв.м., (25407,0 кв.м. – площадь жилых помещений), стены – монолит, крыша – плоская, лифты – 14 ед.</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2.</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bookmarkStart w:id="3" w:name="_Hlk240882367"/>
            <w:r>
              <w:rPr>
                <w:rFonts w:eastAsia="Times New Roman" w:cs="Times New Roman" w:ascii="Times New Roman" w:hAnsi="Times New Roman"/>
                <w:b/>
              </w:rPr>
              <w:t xml:space="preserve">Всеволожский муниципальный район, г. п. Янино-1, ул. 7-я, д. 1 </w:t>
            </w:r>
            <w:bookmarkEnd w:id="3"/>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Дом введен в эксплуатацию в 2024 году, 13 этажей, 251 жилых помещений (квартир), площадь общая – 20599,1 кв.м., (11352,8 кв.м. – площадь жилых помещений), стены – монолит, крыша – плоская, лифты – 6 ед.</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3.</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bookmarkStart w:id="4" w:name="_Hlk240882387"/>
            <w:r>
              <w:rPr>
                <w:rFonts w:eastAsia="Times New Roman" w:cs="Times New Roman" w:ascii="Times New Roman" w:hAnsi="Times New Roman"/>
                <w:b/>
              </w:rPr>
              <w:t xml:space="preserve">Всеволожский муниципальный район, г. п. Янино-2, ул. Рябиновая, д. 8, к. 1 </w:t>
            </w:r>
            <w:bookmarkEnd w:id="4"/>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Дом введен в эксплуатацию в 2024 году, 9 этажей, 147 жилых помещений (квартир), площадь общая – 13850,8 кв.м., (8240,4 кв.м. – площадь жилых помещений), стены – монолит, крыша – плоская, лифты – 3 ед.</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4.</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п. Янино-2, ул. Рябиновая, д. 8, к. 2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Дом введен в эксплуатацию в 2024 году, 9 этажей, 167 жилых помещений (квартир), площадь общая – 13472,2 кв.м., (9349,8 кв.м. – площадь жилых помещений), стены – монолит, крыша – плоская, лифты – 3 ед.</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5.</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п. Янино-2, ул. Рябиновая, д. 8, к. 3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Дом введен в эксплуатацию в 2024 году, 9 этажей, 62 жилых помещений (квартир), площадь общая – 4305,5 кв.м., (2810,1 кв.м. – площадь жилых помещений), стены – монолит, крыша – плоская, лифты – 3 ед.</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6.</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п. Янино-2, ул. Рябиновая, д. 8, к. 4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Дом введен в эксплуатацию в 2024 году, 9 этажей, 127 жилых помещений (квартир), площадь общая – 9733,8 кв.м., (6509,9 кв.м. – площадь жилых помещений), стены – монолит, крыша – плоская, лифты – 2 ед.</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7.</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п. Янино-2, ул. Рябиновая, д. 8, к. 5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Дом введен в эксплуатацию в 2024 году, 9 этажей, 135 жилых помещений (квартир), площадь общая – 9078,1 кв.м., (6460,4 кв.м. – площадь жилых помещений), стены – монолит, крыша – плоская, лифты – 2 ед.</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39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ListParagraph"/>
              <w:spacing w:before="0" w:after="200"/>
              <w:ind w:left="0"/>
              <w:contextualSpacing/>
              <w:rPr>
                <w:rFonts w:ascii="Times New Roman" w:hAnsi="Times New Roman" w:cs="Times New Roman"/>
              </w:rPr>
            </w:pPr>
            <w:r>
              <w:rPr>
                <w:rFonts w:cs="Times New Roman" w:ascii="Times New Roman" w:hAnsi="Times New Roman"/>
              </w:rPr>
              <w:t>8.</w:t>
            </w:r>
          </w:p>
        </w:tc>
        <w:tc>
          <w:tcPr>
            <w:tcW w:w="124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rPr>
            </w:pPr>
            <w:r>
              <w:rPr>
                <w:rFonts w:eastAsia="Times New Roman" w:cs="Times New Roman" w:ascii="Times New Roman" w:hAnsi="Times New Roman"/>
                <w:b/>
              </w:rPr>
              <w:t xml:space="preserve">Всеволожский муниципальный район, г. п. Янино-2, ул. Рябиновая, д. 30 </w:t>
            </w:r>
          </w:p>
          <w:p>
            <w:pPr>
              <w:pStyle w:val="Normal"/>
              <w:spacing w:before="0" w:after="200"/>
              <w:contextualSpacing/>
              <w:rPr>
                <w:rFonts w:ascii="Times New Roman" w:hAnsi="Times New Roman" w:eastAsia="Times New Roman" w:cs="Times New Roman"/>
                <w:b/>
              </w:rPr>
            </w:pPr>
            <w:r>
              <w:rPr>
                <w:rFonts w:eastAsia="Times New Roman" w:cs="Times New Roman" w:ascii="Times New Roman" w:hAnsi="Times New Roman"/>
              </w:rPr>
              <w:t>Дом введен в эксплуатацию в 2024 году, 9 этажей, 329 жилых помещений (квартир), площадь общая – 26173,0 кв.м., (16413,6 кв.м. – площадь жилых помещений), стены – монолит, крыша – плоская, лифты – 4 ед.</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eastAsia="Times New Roman" w:cs="Times New Roman"/>
              </w:rPr>
            </w:pPr>
            <w:r>
              <w:rPr>
                <w:rFonts w:eastAsia="Times New Roman"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jc w:val="both"/>
              <w:rPr>
                <w:rFonts w:ascii="Times New Roman" w:hAnsi="Times New Roman" w:cs="Times New Roman"/>
                <w:b/>
              </w:rPr>
            </w:pPr>
            <w:r>
              <w:rPr>
                <w:rFonts w:eastAsia="Times New Roman" w:cs="Times New Roman" w:ascii="Times New Roman" w:hAnsi="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contextualSpacing/>
              <w:rPr>
                <w:rFonts w:ascii="Times New Roman" w:hAnsi="Times New Roman" w:cs="Times New Roman"/>
                <w:b/>
              </w:rPr>
            </w:pPr>
            <w:r>
              <w:rPr>
                <w:rFonts w:eastAsia="Times New Roman" w:cs="Times New Roman" w:ascii="Times New Roman" w:hAnsi="Times New Roman"/>
                <w:b/>
              </w:rPr>
              <w:t>Фактическое наличие документов</w:t>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p>
            <w:pPr>
              <w:pStyle w:val="Normal"/>
              <w:spacing w:before="0" w:after="200"/>
              <w:contextualSpacing/>
              <w:jc w:val="center"/>
              <w:rPr>
                <w:rFonts w:ascii="Times New Roman" w:hAnsi="Times New Roman" w:cs="Times New Roman"/>
              </w:rPr>
            </w:pPr>
            <w:r>
              <w:rPr>
                <w:rFonts w:cs="Times New Roman" w:ascii="Times New Roman" w:hAnsi="Times New Roman"/>
              </w:rPr>
            </w:r>
          </w:p>
        </w:tc>
      </w:tr>
      <w:tr>
        <w:trPr>
          <w:trHeight w:val="8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 xml:space="preserve">В наличии </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cs="Times New Roman"/>
              </w:rPr>
            </w:pPr>
            <w:r>
              <w:rPr>
                <w:rFonts w:eastAsia="Times New Roman" w:cs="Times New Roman" w:ascii="Times New Roman" w:hAnsi="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cs="Times New Roman"/>
              </w:rPr>
            </w:pPr>
            <w:r>
              <w:rPr>
                <w:rFonts w:eastAsia="Times New Roman" w:cs="Times New Roman" w:ascii="Times New Roman" w:hAnsi="Times New Roman"/>
              </w:rPr>
              <w:t>В наличии</w:t>
            </w:r>
          </w:p>
        </w:tc>
      </w:tr>
      <w:tr>
        <w:trPr>
          <w:trHeight w:val="125" w:hRule="atLeast"/>
        </w:trPr>
        <w:tc>
          <w:tcPr>
            <w:tcW w:w="13042" w:type="dxa"/>
            <w:gridSpan w:val="2"/>
            <w:tcBorders>
              <w:top w:val="single" w:sz="4" w:space="0" w:color="000000"/>
              <w:left w:val="single" w:sz="4" w:space="0" w:color="000000"/>
              <w:bottom w:val="single" w:sz="4" w:space="0" w:color="000000"/>
              <w:right w:val="single" w:sz="4" w:space="0" w:color="000000"/>
            </w:tcBorders>
          </w:tcPr>
          <w:p>
            <w:pPr>
              <w:pStyle w:val="Normal"/>
              <w:spacing w:before="0" w:after="200"/>
              <w:ind w:left="34" w:right="111"/>
              <w:contextualSpacing/>
              <w:rPr>
                <w:rFonts w:ascii="Times New Roman" w:hAnsi="Times New Roman" w:eastAsia="Times New Roman" w:cs="Times New Roman"/>
              </w:rPr>
            </w:pPr>
            <w:r>
              <w:rPr>
                <w:rFonts w:eastAsia="Times New Roman" w:cs="Times New Roman" w:ascii="Times New Roman" w:hAnsi="Times New Roman"/>
              </w:rPr>
              <w:t>Копия разрешения на ввод объекта в эксплуатацию</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200"/>
              <w:contextualSpacing/>
              <w:jc w:val="center"/>
              <w:rPr>
                <w:rFonts w:ascii="Times New Roman" w:hAnsi="Times New Roman" w:eastAsia="Times New Roman" w:cs="Times New Roman"/>
              </w:rPr>
            </w:pPr>
            <w:r>
              <w:rPr>
                <w:rFonts w:eastAsia="Times New Roman" w:cs="Times New Roman" w:ascii="Times New Roman" w:hAnsi="Times New Roman"/>
              </w:rPr>
              <w:t>В наличии</w:t>
            </w:r>
          </w:p>
        </w:tc>
      </w:tr>
    </w:tbl>
    <w:p>
      <w:pPr>
        <w:pStyle w:val="Normal"/>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jc w:val="right"/>
        <w:rPr>
          <w:rFonts w:ascii="Times New Roman" w:hAnsi="Times New Roman" w:eastAsia="Times New Roman" w:cs="Times New Roman"/>
          <w:b/>
        </w:rPr>
      </w:pPr>
      <w:r>
        <w:rPr>
          <w:rFonts w:eastAsia="Times New Roman" w:cs="Times New Roman" w:ascii="Times New Roman" w:hAnsi="Times New Roman"/>
          <w:b/>
        </w:rPr>
      </w:r>
    </w:p>
    <w:p>
      <w:pPr>
        <w:pStyle w:val="Normal"/>
        <w:spacing w:before="0" w:after="0"/>
        <w:jc w:val="right"/>
        <w:rPr/>
      </w:pPr>
      <w:r>
        <w:rPr/>
      </w:r>
    </w:p>
    <w:sectPr>
      <w:type w:val="nextPage"/>
      <w:pgSz w:orient="landscape" w:w="16838" w:h="11906"/>
      <w:pgMar w:left="1134" w:right="395" w:gutter="0" w:header="0" w:top="850" w:footer="0" w:bottom="28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Arial">
    <w:charset w:val="01"/>
    <w:family w:val="roman"/>
    <w:pitch w:val="variable"/>
  </w:font>
  <w:font w:name="Open Sans">
    <w:charset w:val="01"/>
    <w:family w:val="swiss"/>
    <w:pitch w:val="variable"/>
  </w:font>
  <w:font w:name="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5313d"/>
    <w:pPr>
      <w:widowControl/>
      <w:bidi w:val="0"/>
      <w:spacing w:lineRule="auto" w:line="276" w:before="0" w:after="200"/>
      <w:jc w:val="left"/>
    </w:pPr>
    <w:rPr>
      <w:rFonts w:ascii="Arial" w:hAnsi="Arial" w:eastAsia="Arial" w:cs="Arial"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uiPriority w:val="9"/>
    <w:qFormat/>
    <w:rPr>
      <w:rFonts w:ascii="Arial" w:hAnsi="Arial" w:eastAsia="Arial" w:cs="Arial"/>
      <w:sz w:val="40"/>
      <w:szCs w:val="40"/>
    </w:rPr>
  </w:style>
  <w:style w:type="character" w:styleId="2" w:customStyle="1">
    <w:name w:val="Заголовок 2 Знак"/>
    <w:uiPriority w:val="9"/>
    <w:qFormat/>
    <w:rPr>
      <w:rFonts w:ascii="Arial" w:hAnsi="Arial" w:eastAsia="Arial" w:cs="Arial"/>
      <w:sz w:val="34"/>
    </w:rPr>
  </w:style>
  <w:style w:type="character" w:styleId="3" w:customStyle="1">
    <w:name w:val="Заголовок 3 Знак"/>
    <w:uiPriority w:val="9"/>
    <w:qFormat/>
    <w:rPr>
      <w:rFonts w:ascii="Arial" w:hAnsi="Arial" w:eastAsia="Arial" w:cs="Arial"/>
      <w:sz w:val="30"/>
      <w:szCs w:val="30"/>
    </w:rPr>
  </w:style>
  <w:style w:type="character" w:styleId="4" w:customStyle="1">
    <w:name w:val="Заголовок 4 Знак"/>
    <w:uiPriority w:val="9"/>
    <w:qFormat/>
    <w:rPr>
      <w:rFonts w:ascii="Arial" w:hAnsi="Arial" w:eastAsia="Arial" w:cs="Arial"/>
      <w:b/>
      <w:bCs/>
      <w:sz w:val="26"/>
      <w:szCs w:val="26"/>
    </w:rPr>
  </w:style>
  <w:style w:type="character" w:styleId="5" w:customStyle="1">
    <w:name w:val="Заголовок 5 Знак"/>
    <w:uiPriority w:val="9"/>
    <w:qFormat/>
    <w:rPr>
      <w:rFonts w:ascii="Arial" w:hAnsi="Arial" w:eastAsia="Arial" w:cs="Arial"/>
      <w:b/>
      <w:bCs/>
      <w:sz w:val="24"/>
      <w:szCs w:val="24"/>
    </w:rPr>
  </w:style>
  <w:style w:type="character" w:styleId="6" w:customStyle="1">
    <w:name w:val="Заголовок 6 Знак"/>
    <w:uiPriority w:val="9"/>
    <w:qFormat/>
    <w:rPr>
      <w:rFonts w:ascii="Arial" w:hAnsi="Arial" w:eastAsia="Arial" w:cs="Arial"/>
      <w:b/>
      <w:bCs/>
      <w:sz w:val="22"/>
      <w:szCs w:val="22"/>
    </w:rPr>
  </w:style>
  <w:style w:type="character" w:styleId="7" w:customStyle="1">
    <w:name w:val="Заголовок 7 Знак"/>
    <w:uiPriority w:val="9"/>
    <w:qFormat/>
    <w:rPr>
      <w:rFonts w:ascii="Arial" w:hAnsi="Arial" w:eastAsia="Arial" w:cs="Arial"/>
      <w:b/>
      <w:bCs/>
      <w:i/>
      <w:iCs/>
      <w:sz w:val="22"/>
      <w:szCs w:val="22"/>
    </w:rPr>
  </w:style>
  <w:style w:type="character" w:styleId="8" w:customStyle="1">
    <w:name w:val="Заголовок 8 Знак"/>
    <w:uiPriority w:val="9"/>
    <w:qFormat/>
    <w:rPr>
      <w:rFonts w:ascii="Arial" w:hAnsi="Arial" w:eastAsia="Arial" w:cs="Arial"/>
      <w:i/>
      <w:iCs/>
      <w:sz w:val="22"/>
      <w:szCs w:val="22"/>
    </w:rPr>
  </w:style>
  <w:style w:type="character" w:styleId="9" w:customStyle="1">
    <w:name w:val="Заголовок 9 Знак"/>
    <w:uiPriority w:val="9"/>
    <w:qFormat/>
    <w:rPr>
      <w:rFonts w:ascii="Arial" w:hAnsi="Arial" w:eastAsia="Arial" w:cs="Arial"/>
      <w:i/>
      <w:iCs/>
      <w:sz w:val="21"/>
      <w:szCs w:val="21"/>
    </w:rPr>
  </w:style>
  <w:style w:type="character" w:styleId="Style5" w:customStyle="1">
    <w:name w:val="Заголовок Знак"/>
    <w:uiPriority w:val="10"/>
    <w:qFormat/>
    <w:rPr>
      <w:sz w:val="48"/>
      <w:szCs w:val="48"/>
    </w:rPr>
  </w:style>
  <w:style w:type="character" w:styleId="Style6" w:customStyle="1">
    <w:name w:val="Подзаголовок Знак"/>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Style8" w:customStyle="1">
    <w:name w:val="Верхний колонтитул Знак"/>
    <w:uiPriority w:val="99"/>
    <w:qFormat/>
    <w:rPr/>
  </w:style>
  <w:style w:type="character" w:styleId="Style9" w:customStyle="1">
    <w:name w:val="Нижний колонтитул Знак"/>
    <w:uiPriority w:val="99"/>
    <w:qFormat/>
    <w:rPr/>
  </w:style>
  <w:style w:type="character" w:styleId="Style10" w:customStyle="1">
    <w:name w:val="Название объекта Знак"/>
    <w:link w:val="Caption1"/>
    <w:uiPriority w:val="35"/>
    <w:qFormat/>
    <w:rPr>
      <w:b/>
      <w:bCs/>
      <w:color w:themeColor="accent1" w:val="5B9BD5"/>
      <w:sz w:val="18"/>
      <w:szCs w:val="18"/>
    </w:rPr>
  </w:style>
  <w:style w:type="character" w:styleId="Hyperlink">
    <w:name w:val="Hyperlink"/>
    <w:uiPriority w:val="99"/>
    <w:unhideWhenUsed/>
    <w:rPr>
      <w:color w:themeColor="hyperlink" w:val="0563C1"/>
      <w:u w:val="single"/>
    </w:rPr>
  </w:style>
  <w:style w:type="character" w:styleId="Style11" w:customStyle="1">
    <w:name w:val="Текст сноски Знак"/>
    <w:uiPriority w:val="99"/>
    <w:qFormat/>
    <w:rPr>
      <w:sz w:val="18"/>
    </w:rPr>
  </w:style>
  <w:style w:type="character" w:styleId="Style12">
    <w:name w:val="Символ сноски"/>
    <w:uiPriority w:val="99"/>
    <w:unhideWhenUsed/>
    <w:qFormat/>
    <w:rPr>
      <w:vertAlign w:val="superscript"/>
    </w:rPr>
  </w:style>
  <w:style w:type="character" w:styleId="FootnoteReference">
    <w:name w:val="Footnote Reference"/>
    <w:rPr>
      <w:vertAlign w:val="superscript"/>
    </w:rPr>
  </w:style>
  <w:style w:type="character" w:styleId="Style13" w:customStyle="1">
    <w:name w:val="Текст концевой сноски Знак"/>
    <w:uiPriority w:val="99"/>
    <w:qFormat/>
    <w:rPr>
      <w:sz w:val="20"/>
    </w:rPr>
  </w:style>
  <w:style w:type="character" w:styleId="Style14">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IntenseEmphasis">
    <w:name w:val="Intense Emphasis"/>
    <w:basedOn w:val="DefaultParagraphFont"/>
    <w:uiPriority w:val="21"/>
    <w:qFormat/>
    <w:rsid w:val="003373d8"/>
    <w:rPr>
      <w:i/>
      <w:iCs/>
      <w:color w:themeColor="accent1" w:themeShade="bf" w:val="2E74B5"/>
    </w:rPr>
  </w:style>
  <w:style w:type="character" w:styleId="IntenseReference">
    <w:name w:val="Intense Reference"/>
    <w:basedOn w:val="DefaultParagraphFont"/>
    <w:uiPriority w:val="32"/>
    <w:qFormat/>
    <w:rsid w:val="003373d8"/>
    <w:rPr>
      <w:b/>
      <w:bCs/>
      <w:smallCaps/>
      <w:color w:themeColor="accent1" w:themeShade="bf" w:val="2E74B5"/>
      <w:spacing w:val="5"/>
    </w:rPr>
  </w:style>
  <w:style w:type="character" w:styleId="UnresolvedMention">
    <w:name w:val="Unresolved Mention"/>
    <w:basedOn w:val="DefaultParagraphFont"/>
    <w:uiPriority w:val="99"/>
    <w:semiHidden/>
    <w:unhideWhenUsed/>
    <w:qFormat/>
    <w:rsid w:val="003373d8"/>
    <w:rPr>
      <w:color w:val="605E5C"/>
      <w:shd w:fill="E1DFDD" w:val="clear"/>
    </w:rPr>
  </w:style>
  <w:style w:type="character" w:styleId="FollowedHyperlink">
    <w:name w:val="FollowedHyperlink"/>
    <w:basedOn w:val="DefaultParagraphFont"/>
    <w:uiPriority w:val="99"/>
    <w:semiHidden/>
    <w:unhideWhenUsed/>
    <w:rsid w:val="004d32f0"/>
    <w:rPr>
      <w:color w:themeColor="followedHyperlink" w:val="954F72"/>
      <w:u w:val="single"/>
    </w:rPr>
  </w:style>
  <w:style w:type="character" w:styleId="11" w:customStyle="1">
    <w:name w:val="Неразрешенное упоминание1"/>
    <w:basedOn w:val="DefaultParagraphFont"/>
    <w:uiPriority w:val="99"/>
    <w:semiHidden/>
    <w:unhideWhenUsed/>
    <w:qFormat/>
    <w:rsid w:val="00d5313d"/>
    <w:rPr>
      <w:color w:val="605E5C"/>
      <w:shd w:fill="E1DFDD" w:val="clear"/>
    </w:rPr>
  </w:style>
  <w:style w:type="paragraph" w:styleId="Style15">
    <w:name w:val="Заголовок"/>
    <w:basedOn w:val="Normal"/>
    <w:next w:val="BodyText"/>
    <w:qFormat/>
    <w:pPr>
      <w:keepNext w:val="true"/>
      <w:spacing w:before="240" w:after="120"/>
    </w:pPr>
    <w:rPr>
      <w:rFonts w:ascii="Open Sans" w:hAnsi="Open Sans" w:eastAsia="Tahoma"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6">
    <w:name w:val="Указатель"/>
    <w:basedOn w:val="Normal"/>
    <w:qFormat/>
    <w:pPr>
      <w:suppressLineNumbers/>
    </w:pPr>
    <w:rPr>
      <w:rFonts w:cs="Lohit Devanagari"/>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left="720" w:right="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Style17">
    <w:name w:val="Колонтитул"/>
    <w:basedOn w:val="Normal"/>
    <w:qFormat/>
    <w:pPr/>
    <w:rPr/>
  </w:style>
  <w:style w:type="paragraph" w:styleId="Header">
    <w:name w:val="Header"/>
    <w:basedOn w:val="Normal"/>
    <w:link w:val="Style8"/>
    <w:uiPriority w:val="99"/>
    <w:unhideWhenUsed/>
    <w:pPr>
      <w:tabs>
        <w:tab w:val="clear" w:pos="708"/>
        <w:tab w:val="center" w:pos="7143" w:leader="none"/>
        <w:tab w:val="right" w:pos="14287" w:leader="none"/>
      </w:tabs>
      <w:spacing w:lineRule="auto" w:line="240" w:before="0" w:after="0"/>
    </w:pPr>
    <w:rPr/>
  </w:style>
  <w:style w:type="paragraph" w:styleId="Footer">
    <w:name w:val="Footer"/>
    <w:basedOn w:val="Normal"/>
    <w:link w:val="Style9"/>
    <w:uiPriority w:val="99"/>
    <w:unhideWhenUsed/>
    <w:pPr>
      <w:tabs>
        <w:tab w:val="clear" w:pos="708"/>
        <w:tab w:val="center" w:pos="7143" w:leader="none"/>
        <w:tab w:val="right" w:pos="14287" w:leader="none"/>
      </w:tabs>
      <w:spacing w:lineRule="auto" w:line="240" w:before="0" w:after="0"/>
    </w:pPr>
    <w:rPr/>
  </w:style>
  <w:style w:type="paragraph" w:styleId="Caption1">
    <w:name w:val="caption1"/>
    <w:basedOn w:val="Normal"/>
    <w:next w:val="Normal"/>
    <w:link w:val="Style10"/>
    <w:uiPriority w:val="35"/>
    <w:semiHidden/>
    <w:unhideWhenUsed/>
    <w:qFormat/>
    <w:pPr/>
    <w:rPr>
      <w:b/>
      <w:bCs/>
      <w:color w:themeColor="accent1" w:val="5B9BD5"/>
      <w:sz w:val="18"/>
      <w:szCs w:val="18"/>
    </w:rPr>
  </w:style>
  <w:style w:type="paragraph" w:styleId="FootnoteText">
    <w:name w:val="Footnote Text"/>
    <w:basedOn w:val="Normal"/>
    <w:link w:val="Style11"/>
    <w:uiPriority w:val="99"/>
    <w:semiHidden/>
    <w:unhideWhenUsed/>
    <w:pPr>
      <w:spacing w:lineRule="auto" w:line="240" w:before="0" w:after="40"/>
    </w:pPr>
    <w:rPr>
      <w:sz w:val="18"/>
    </w:rPr>
  </w:style>
  <w:style w:type="paragraph" w:styleId="EndnoteText">
    <w:name w:val="Endnote Text"/>
    <w:basedOn w:val="Normal"/>
    <w:link w:val="Style13"/>
    <w:uiPriority w:val="99"/>
    <w:semiHidden/>
    <w:unhideWhenUsed/>
    <w:pPr>
      <w:spacing w:lineRule="auto" w:line="240" w:before="0" w:after="0"/>
    </w:pPr>
    <w:rPr>
      <w:sz w:val="20"/>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left="283"/>
    </w:pPr>
    <w:rPr/>
  </w:style>
  <w:style w:type="paragraph" w:styleId="TOC3">
    <w:name w:val="TOC 3"/>
    <w:basedOn w:val="Normal"/>
    <w:next w:val="Normal"/>
    <w:uiPriority w:val="39"/>
    <w:unhideWhenUsed/>
    <w:pPr>
      <w:spacing w:before="0" w:after="57"/>
      <w:ind w:left="567"/>
    </w:pPr>
    <w:rPr/>
  </w:style>
  <w:style w:type="paragraph" w:styleId="TOC4">
    <w:name w:val="TOC 4"/>
    <w:basedOn w:val="Normal"/>
    <w:next w:val="Normal"/>
    <w:uiPriority w:val="39"/>
    <w:unhideWhenUsed/>
    <w:pPr>
      <w:spacing w:before="0" w:after="57"/>
      <w:ind w:left="850"/>
    </w:pPr>
    <w:rPr/>
  </w:style>
  <w:style w:type="paragraph" w:styleId="TOC5">
    <w:name w:val="TOC 5"/>
    <w:basedOn w:val="Normal"/>
    <w:next w:val="Normal"/>
    <w:uiPriority w:val="39"/>
    <w:unhideWhenUsed/>
    <w:pPr>
      <w:spacing w:before="0" w:after="57"/>
      <w:ind w:left="1134"/>
    </w:pPr>
    <w:rPr/>
  </w:style>
  <w:style w:type="paragraph" w:styleId="TOC6">
    <w:name w:val="TOC 6"/>
    <w:basedOn w:val="Normal"/>
    <w:next w:val="Normal"/>
    <w:uiPriority w:val="39"/>
    <w:unhideWhenUsed/>
    <w:pPr>
      <w:spacing w:before="0" w:after="57"/>
      <w:ind w:left="1417"/>
    </w:pPr>
    <w:rPr/>
  </w:style>
  <w:style w:type="paragraph" w:styleId="TOC7">
    <w:name w:val="TOC 7"/>
    <w:basedOn w:val="Normal"/>
    <w:next w:val="Normal"/>
    <w:uiPriority w:val="39"/>
    <w:unhideWhenUsed/>
    <w:pPr>
      <w:spacing w:before="0" w:after="57"/>
      <w:ind w:left="1701"/>
    </w:pPr>
    <w:rPr/>
  </w:style>
  <w:style w:type="paragraph" w:styleId="TOC8">
    <w:name w:val="TOC 8"/>
    <w:basedOn w:val="Normal"/>
    <w:next w:val="Normal"/>
    <w:uiPriority w:val="39"/>
    <w:unhideWhenUsed/>
    <w:pPr>
      <w:spacing w:before="0" w:after="57"/>
      <w:ind w:left="1984"/>
    </w:pPr>
    <w:rPr/>
  </w:style>
  <w:style w:type="paragraph" w:styleId="TOC9">
    <w:name w:val="TOC 9"/>
    <w:basedOn w:val="Normal"/>
    <w:next w:val="Normal"/>
    <w:uiPriority w:val="39"/>
    <w:unhideWhenUsed/>
    <w:pPr>
      <w:spacing w:before="0" w:after="57"/>
      <w:ind w:left="2268"/>
    </w:pPr>
    <w:rPr/>
  </w:style>
  <w:style w:type="paragraph" w:styleId="IndexHeading">
    <w:name w:val="Index Heading"/>
    <w:basedOn w:val="Style15"/>
    <w:pPr/>
    <w:rPr/>
  </w:style>
  <w:style w:type="paragraph" w:styleId="TOCHeading">
    <w:name w:val="TOC Heading"/>
    <w:uiPriority w:val="39"/>
    <w:unhideWhenUsed/>
    <w:qFormat/>
    <w:pPr>
      <w:widowControl/>
      <w:bidi w:val="0"/>
      <w:spacing w:lineRule="auto" w:line="276" w:before="0" w:after="200"/>
      <w:jc w:val="left"/>
    </w:pPr>
    <w:rPr>
      <w:rFonts w:ascii="Arial" w:hAnsi="Arial" w:eastAsia="Arial"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next w:val="Normal"/>
    <w:uiPriority w:val="99"/>
    <w:unhideWhenUsed/>
    <w:pPr>
      <w:spacing w:before="0" w:after="0"/>
    </w:pPr>
    <w:rPr/>
  </w:style>
  <w:style w:type="paragraph" w:styleId="NoSpacing">
    <w:name w:val="No Spacing"/>
    <w:basedOn w:val="Normal"/>
    <w:uiPriority w:val="1"/>
    <w:qFormat/>
    <w:pPr>
      <w:spacing w:lineRule="auto" w:line="240" w:before="0" w:after="0"/>
    </w:pPr>
    <w:rPr/>
  </w:style>
  <w:style w:type="paragraph" w:styleId="ListParagraph">
    <w:name w:val="List Paragraph"/>
    <w:basedOn w:val="Normal"/>
    <w:uiPriority w:val="34"/>
    <w:qFormat/>
    <w:pPr>
      <w:spacing w:before="0" w:after="200"/>
      <w:ind w:left="720"/>
      <w:contextualSpacing/>
    </w:pPr>
    <w:rPr/>
  </w:style>
  <w:style w:type="paragraph" w:styleId="NormalWeb">
    <w:name w:val="Normal (Web)"/>
    <w:basedOn w:val="Normal"/>
    <w:uiPriority w:val="99"/>
    <w:semiHidden/>
    <w:unhideWhenUsed/>
    <w:qFormat/>
    <w:rsid w:val="000e0c0d"/>
    <w:pPr>
      <w:spacing w:lineRule="auto" w:line="240" w:beforeAutospacing="1" w:afterAutospacing="1"/>
    </w:pPr>
    <w:rPr>
      <w:rFonts w:ascii="Times New Roman" w:hAnsi="Times New Roman" w:eastAsia="Times New Roman" w:cs="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
    <w:name w:val="Table Grid"/>
    <w:basedOn w:val="a1"/>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1">
    <w:name w:val="Plain Table 1"/>
    <w:basedOn w:val="a1"/>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23">
    <w:name w:val="Plain Table 2"/>
    <w:basedOn w:val="a1"/>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41">
    <w:name w:val="Plain Table 4"/>
    <w:basedOn w:val="a1"/>
    <w:uiPriority w:val="99"/>
    <w:pPr>
      <w:spacing w:after="0" w:line="240" w:lineRule="auto"/>
    </w:pPr>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51">
    <w:name w:val="Plain Table 5"/>
    <w:basedOn w:val="a1"/>
    <w:uiPriority w:val="99"/>
    <w:pPr>
      <w:spacing w:after="0" w:line="240" w:lineRule="auto"/>
    </w:pPr>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1">
    <w:name w:val="Grid Table 1 Light"/>
    <w:basedOn w:val="a1"/>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rPr>
      <w:tblPr/>
      <w:tcPr>
        <w:tcBorders>
          <w:bottom w:val="single" w:color="9EC4E6"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rPr>
      <w:tblPr/>
      <w:tcPr>
        <w:tcBorders>
          <w:bottom w:val="single" w:color="F4B28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rPr>
      <w:tblPr/>
      <w:tcPr>
        <w:tcBorders>
          <w:bottom w:val="single" w:color="CACACA"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b/>
      </w:rPr>
      <w:tblPr/>
      <w:tcPr>
        <w:tcBorders>
          <w:bottom w:val="single" w:color="FFDA6A"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b/>
      </w:rPr>
      <w:tblPr/>
      <w:tcPr>
        <w:tcBorders>
          <w:bottom w:val="single" w:color="91ACDC"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rPr>
      <w:tblPr/>
      <w:tcPr>
        <w:tcBorders>
          <w:bottom w:val="single" w:color="AAD190"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styleId="-2">
    <w:name w:val="Grid Table 2"/>
    <w:basedOn w:val="a1"/>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rPr>
      <w:tblPr/>
      <w:tcPr>
        <w:tcBorders>
          <w:top w:val="none" w:color="000000" w:sz="4" w:space="0"/>
          <w:left w:val="none" w:color="000000" w:sz="4" w:space="0"/>
          <w:bottom w:val="single" w:color="68A2D8" w:themeColor="accent1" w:sz="12" w:space="0"/>
          <w:right w:val="none" w:color="000000" w:sz="4" w:space="0"/>
        </w:tcBorders>
        <w:shd w:val="clear" w:color="FFFFFF" w:fill="auto"/>
      </w:tcPr>
    </w:tblStylePr>
    <w:tblStylePr w:type="lastRow">
      <w:rPr>
        <w:b/>
      </w:rPr>
      <w:tblPr/>
      <w:tcPr>
        <w:tcBorders>
          <w:top w:val="single" w:color="68A2D8"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DEAF6" w:fill="DDEAF6" w:themeFill="accent1" w:themeFillTint="34"/>
      </w:tcPr>
    </w:tblStylePr>
    <w:tblStylePr w:type="band1Horz">
      <w:rPr>
        <w:sz w:val="22"/>
      </w:rPr>
      <w:tblPr/>
      <w:tcPr>
        <w:shd w:val="clear" w:color="DDEAF6"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rPr>
      <w:tblPr/>
      <w:tcPr>
        <w:tcBorders>
          <w:top w:val="none" w:color="000000" w:sz="4" w:space="0"/>
          <w:left w:val="none" w:color="000000" w:sz="4" w:space="0"/>
          <w:bottom w:val="single" w:color="F4B184" w:themeColor="accent2" w:sz="12" w:space="0"/>
          <w:right w:val="none" w:color="000000" w:sz="4" w:space="0"/>
        </w:tcBorders>
        <w:shd w:val="clear" w:color="FFFFFF" w:fill="auto"/>
      </w:tcPr>
    </w:tblStylePr>
    <w:tblStylePr w:type="lastRow">
      <w:rPr>
        <w:b/>
      </w:rPr>
      <w:tblPr/>
      <w:tcPr>
        <w:tcBorders>
          <w:top w:val="single" w:color="F4B184"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rPr>
      <w:tbl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Row">
      <w:rPr>
        <w:b/>
      </w:rPr>
      <w:tblPr/>
      <w:tcPr>
        <w:tcBorders>
          <w:top w:val="single" w:color="A5A5A5"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rPr>
      <w:tblPr/>
      <w:tcPr>
        <w:tcBorders>
          <w:top w:val="none" w:color="000000" w:sz="4" w:space="0"/>
          <w:left w:val="none" w:color="000000" w:sz="4" w:space="0"/>
          <w:bottom w:val="single" w:color="FFD865" w:themeColor="accent4" w:sz="12" w:space="0"/>
          <w:right w:val="none" w:color="000000" w:sz="4" w:space="0"/>
        </w:tcBorders>
        <w:shd w:val="clear" w:color="FFFFFF" w:fill="auto"/>
      </w:tcPr>
    </w:tblStylePr>
    <w:tblStylePr w:type="lastRow">
      <w:rPr>
        <w:b/>
      </w:rPr>
      <w:tblPr/>
      <w:tcPr>
        <w:tcBorders>
          <w:top w:val="single" w:color="FFD865"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rPr>
      <w:tblPr/>
      <w:tcPr>
        <w:tcBorders>
          <w:top w:val="none" w:color="000000" w:sz="4" w:space="0"/>
          <w:left w:val="none" w:color="000000" w:sz="4" w:space="0"/>
          <w:bottom w:val="single" w:color="4472C4" w:themeColor="accent5" w:sz="12" w:space="0"/>
          <w:right w:val="none" w:color="000000" w:sz="4" w:space="0"/>
        </w:tcBorders>
        <w:shd w:val="clear" w:color="FFFFFF" w:fill="auto"/>
      </w:tcPr>
    </w:tblStylePr>
    <w:tblStylePr w:type="lastRow">
      <w:rPr>
        <w:b/>
      </w:rPr>
      <w:tblPr/>
      <w:tcPr>
        <w:tcBorders>
          <w:top w:val="single" w:color="4472C4"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DEAF6" w:fill="DDEAF6" w:themeFill="accent1" w:themeFillTint="34"/>
      </w:tcPr>
    </w:tblStylePr>
    <w:tblStylePr w:type="band1Horz">
      <w:rPr>
        <w:sz w:val="22"/>
      </w:rPr>
      <w:tblPr/>
      <w:tcPr>
        <w:shd w:val="clear" w:color="DDEAF6"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b/>
        <w:sz w:val="22"/>
      </w:rPr>
      <w:tblPr/>
      <w:tcPr>
        <w:tcBorders>
          <w:top w:val="single" w:color="68A2D8" w:themeColor="accent1" w:sz="4" w:space="0"/>
          <w:left w:val="single" w:color="68A2D8" w:themeColor="accent1" w:sz="4" w:space="0"/>
          <w:bottom w:val="single" w:color="68A2D8" w:themeColor="accent1" w:sz="4" w:space="0"/>
          <w:right w:val="single" w:color="68A2D8" w:themeColor="accent1" w:sz="4" w:space="0"/>
        </w:tcBorders>
        <w:shd w:val="clear" w:color="68A2D8" w:fill="68A2D8" w:themeFill="accent1" w:themeFillTint="ea"/>
      </w:tcPr>
    </w:tblStylePr>
    <w:tblStylePr w:type="lastRow">
      <w:rPr>
        <w:b/>
      </w:rPr>
      <w:tblPr/>
      <w:tcPr>
        <w:tcBorders>
          <w:top w:val="single" w:color="68A2D8" w:themeColor="accent1" w:sz="4" w:space="0"/>
        </w:tcBorders>
      </w:tcPr>
    </w:tblStylePr>
    <w:tblStylePr w:type="firstCol">
      <w:rPr>
        <w:b/>
      </w:rPr>
      <w:tblPr/>
    </w:tblStylePr>
    <w:tblStylePr w:type="lastCol">
      <w:rPr>
        <w:b/>
      </w:rPr>
      <w:tblPr/>
    </w:tblStylePr>
    <w:tblStylePr w:type="band1Vert">
      <w:rPr>
        <w:sz w:val="22"/>
      </w:rPr>
      <w:tblPr/>
      <w:tcPr>
        <w:shd w:val="clear" w:color="DEEBF6" w:fill="DEEBF6" w:themeFill="accent1" w:themeFillTint="32"/>
      </w:tcPr>
    </w:tblStylePr>
    <w:tblStylePr w:type="band1Horz">
      <w:rPr>
        <w:sz w:val="22"/>
      </w:rPr>
      <w:tblPr/>
      <w:tcPr>
        <w:shd w:val="clear" w:color="DEEBF6"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b/>
        <w:sz w:val="22"/>
      </w:rPr>
      <w:tblPr/>
      <w:tcPr>
        <w:tcBorders>
          <w:top w:val="single" w:color="F4B184" w:themeColor="accent2" w:sz="4" w:space="0"/>
          <w:left w:val="single" w:color="F4B184" w:themeColor="accent2" w:sz="4" w:space="0"/>
          <w:bottom w:val="single" w:color="F4B184" w:themeColor="accent2" w:sz="4" w:space="0"/>
          <w:right w:val="single" w:color="F4B184" w:themeColor="accent2" w:sz="4" w:space="0"/>
        </w:tcBorders>
        <w:shd w:val="clear" w:color="F4B184" w:fill="F4B184" w:themeFill="accent2" w:themeFillTint="97"/>
      </w:tcPr>
    </w:tblStylePr>
    <w:tblStylePr w:type="lastRow">
      <w:rPr>
        <w:b/>
      </w:rPr>
      <w:tblPr/>
      <w:tcPr>
        <w:tcBorders>
          <w:top w:val="single" w:color="F4B184" w:themeColor="accent2" w:sz="4" w:space="0"/>
        </w:tcBorders>
      </w:tcPr>
    </w:tblStylePr>
    <w:tblStylePr w:type="firstCol">
      <w:rPr>
        <w:b/>
      </w:rPr>
      <w:tblPr/>
    </w:tblStylePr>
    <w:tblStylePr w:type="lastCol">
      <w:rPr>
        <w:b/>
      </w:rPr>
      <w:tbl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b/>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5A5A5" w:fill="A5A5A5" w:themeFill="accent3" w:themeFillTint="fe"/>
      </w:tcPr>
    </w:tblStylePr>
    <w:tblStylePr w:type="lastRow">
      <w:rPr>
        <w:b/>
      </w:rPr>
      <w:tblPr/>
      <w:tcPr>
        <w:tcBorders>
          <w:top w:val="single" w:color="A5A5A5" w:themeColor="accent3" w:sz="4" w:space="0"/>
        </w:tcBorders>
      </w:tcPr>
    </w:tblStylePr>
    <w:tblStylePr w:type="firstCol">
      <w:rPr>
        <w:b/>
      </w:rPr>
      <w:tblPr/>
    </w:tblStylePr>
    <w:tblStylePr w:type="lastCol">
      <w:rPr>
        <w:b/>
      </w:rPr>
      <w:tbl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firstRow">
      <w:rPr>
        <w:b/>
        <w:sz w:val="22"/>
      </w:rPr>
      <w:tblPr/>
      <w:tcPr>
        <w:tcBorders>
          <w:top w:val="single" w:color="FFD865" w:themeColor="accent4" w:sz="4" w:space="0"/>
          <w:left w:val="single" w:color="FFD865" w:themeColor="accent4" w:sz="4" w:space="0"/>
          <w:bottom w:val="single" w:color="FFD865" w:themeColor="accent4" w:sz="4" w:space="0"/>
          <w:right w:val="single" w:color="FFD865" w:themeColor="accent4" w:sz="4" w:space="0"/>
        </w:tcBorders>
        <w:shd w:val="clear" w:color="FFD865" w:fill="FFD865" w:themeFill="accent4" w:themeFillTint="9a"/>
      </w:tcPr>
    </w:tblStylePr>
    <w:tblStylePr w:type="lastRow">
      <w:rPr>
        <w:b/>
      </w:rPr>
      <w:tblPr/>
      <w:tcPr>
        <w:tcBorders>
          <w:top w:val="single" w:color="FFD865" w:themeColor="accent4" w:sz="4" w:space="0"/>
        </w:tcBorders>
      </w:tcPr>
    </w:tblStylePr>
    <w:tblStylePr w:type="firstCol">
      <w:rPr>
        <w:b/>
      </w:rPr>
      <w:tblPr/>
    </w:tblStylePr>
    <w:tblStylePr w:type="lastCol">
      <w:rPr>
        <w:b/>
      </w:rPr>
      <w:tbl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b/>
        <w:sz w:val="22"/>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hemeFill="accent5"/>
      </w:tcPr>
    </w:tblStylePr>
    <w:tblStylePr w:type="lastRow">
      <w:rPr>
        <w:b/>
      </w:rPr>
      <w:tblPr/>
      <w:tcPr>
        <w:tcBorders>
          <w:top w:val="single" w:color="4472C4" w:themeColor="accent5" w:sz="4" w:space="0"/>
        </w:tcBorders>
      </w:tcPr>
    </w:tblStylePr>
    <w:tblStylePr w:type="firstCol">
      <w:rPr>
        <w:b/>
      </w:rPr>
      <w:tblPr/>
    </w:tblStylePr>
    <w:tblStylePr w:type="lastCol">
      <w:rPr>
        <w:b/>
      </w:rPr>
      <w:tbl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Row">
      <w:rPr>
        <w:b/>
      </w:rPr>
      <w:tblPr/>
      <w:tcPr>
        <w:tcBorders>
          <w:top w:val="single" w:color="70AD47" w:themeColor="accent6" w:sz="4" w:space="0"/>
        </w:tcBorders>
      </w:tcPr>
    </w:tblStylePr>
    <w:tblStylePr w:type="firstCol">
      <w:rPr>
        <w:b/>
      </w:rPr>
      <w:tblPr/>
    </w:tblStylePr>
    <w:tblStylePr w:type="lastCol">
      <w:rPr>
        <w:b/>
      </w:rPr>
      <w:tbl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5B9BD5" w:fill="5B9BD5" w:themeFill="accent1"/>
      </w:tcPr>
    </w:tblStylePr>
    <w:tblStylePr w:type="lastRow">
      <w:rPr>
        <w:b/>
        <w:sz w:val="22"/>
      </w:rPr>
      <w:tblPr/>
      <w:tcPr>
        <w:tcBorders>
          <w:top w:val="single" w:color="FFFFFF" w:themeColor="light1" w:sz="4" w:space="0"/>
        </w:tcBorders>
        <w:shd w:val="clear" w:color="5B9BD5" w:fill="5B9BD5" w:themeFill="accent1"/>
      </w:tcPr>
    </w:tblStylePr>
    <w:tblStylePr w:type="firstCol">
      <w:rPr>
        <w:b/>
        <w:sz w:val="22"/>
      </w:rPr>
      <w:tblPr/>
      <w:tcPr>
        <w:shd w:val="clear" w:color="5B9BD5" w:fill="5B9BD5" w:themeFill="accent1"/>
      </w:tcPr>
    </w:tblStylePr>
    <w:tblStylePr w:type="lastCol">
      <w:rPr>
        <w:b/>
        <w:sz w:val="22"/>
      </w:rPr>
      <w:tblPr/>
      <w:tcPr>
        <w:shd w:val="clear" w:color="5B9BD5" w:fill="5B9BD5" w:themeFill="accent1"/>
      </w:tcPr>
    </w:tblStylePr>
    <w:tblStylePr w:type="band1Vert">
      <w:tblPr/>
      <w:tcPr>
        <w:shd w:val="clear" w:color="B3D0EB" w:fill="B3D0EB" w:themeFill="accent1" w:themeFillTint="75"/>
      </w:tcPr>
    </w:tblStylePr>
    <w:tblStylePr w:type="band1Horz">
      <w:tblPr/>
      <w:tcPr>
        <w:shd w:val="clear" w:color="B3D0EB"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ED7D31" w:fill="ED7D31" w:themeFill="accent2"/>
      </w:tcPr>
    </w:tblStylePr>
    <w:tblStylePr w:type="lastRow">
      <w:rPr>
        <w:b/>
        <w:sz w:val="22"/>
      </w:rPr>
      <w:tblPr/>
      <w:tcPr>
        <w:tcBorders>
          <w:top w:val="single" w:color="FFFFFF" w:themeColor="light1" w:sz="4" w:space="0"/>
        </w:tcBorders>
        <w:shd w:val="clear" w:color="ED7D31" w:fill="ED7D31" w:themeFill="accent2"/>
      </w:tcPr>
    </w:tblStylePr>
    <w:tblStylePr w:type="firstCol">
      <w:rPr>
        <w:b/>
        <w:sz w:val="22"/>
      </w:rPr>
      <w:tblPr/>
      <w:tcPr>
        <w:shd w:val="clear" w:color="ED7D31" w:fill="ED7D31" w:themeFill="accent2"/>
      </w:tcPr>
    </w:tblStylePr>
    <w:tblStylePr w:type="lastCol">
      <w:rPr>
        <w:b/>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A5A5A5" w:fill="A5A5A5" w:themeFill="accent3"/>
      </w:tcPr>
    </w:tblStylePr>
    <w:tblStylePr w:type="lastRow">
      <w:rPr>
        <w:b/>
        <w:sz w:val="22"/>
      </w:rPr>
      <w:tblPr/>
      <w:tcPr>
        <w:tcBorders>
          <w:top w:val="single" w:color="FFFFFF" w:themeColor="light1" w:sz="4" w:space="0"/>
        </w:tcBorders>
        <w:shd w:val="clear" w:color="A5A5A5" w:fill="A5A5A5" w:themeFill="accent3"/>
      </w:tcPr>
    </w:tblStylePr>
    <w:tblStylePr w:type="firstCol">
      <w:rPr>
        <w:b/>
        <w:sz w:val="22"/>
      </w:rPr>
      <w:tblPr/>
      <w:tcPr>
        <w:shd w:val="clear" w:color="A5A5A5" w:fill="A5A5A5" w:themeFill="accent3"/>
      </w:tcPr>
    </w:tblStylePr>
    <w:tblStylePr w:type="lastCol">
      <w:rPr>
        <w:b/>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FC000" w:fill="FFC000" w:themeFill="accent4"/>
      </w:tcPr>
    </w:tblStylePr>
    <w:tblStylePr w:type="lastRow">
      <w:rPr>
        <w:b/>
        <w:sz w:val="22"/>
      </w:rPr>
      <w:tblPr/>
      <w:tcPr>
        <w:tcBorders>
          <w:top w:val="single" w:color="FFFFFF" w:themeColor="light1" w:sz="4" w:space="0"/>
        </w:tcBorders>
        <w:shd w:val="clear" w:color="FFC000" w:fill="FFC000" w:themeFill="accent4"/>
      </w:tcPr>
    </w:tblStylePr>
    <w:tblStylePr w:type="firstCol">
      <w:rPr>
        <w:b/>
        <w:sz w:val="22"/>
      </w:rPr>
      <w:tblPr/>
      <w:tcPr>
        <w:shd w:val="clear" w:color="FFC000" w:fill="FFC000" w:themeFill="accent4"/>
      </w:tcPr>
    </w:tblStylePr>
    <w:tblStylePr w:type="lastCol">
      <w:rPr>
        <w:b/>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472C4" w:fill="4472C4" w:themeFill="accent5"/>
      </w:tcPr>
    </w:tblStylePr>
    <w:tblStylePr w:type="lastRow">
      <w:rPr>
        <w:b/>
        <w:sz w:val="22"/>
      </w:rPr>
      <w:tblPr/>
      <w:tcPr>
        <w:tcBorders>
          <w:top w:val="single" w:color="FFFFFF" w:themeColor="light1" w:sz="4" w:space="0"/>
        </w:tcBorders>
        <w:shd w:val="clear" w:color="4472C4" w:fill="4472C4" w:themeFill="accent5"/>
      </w:tcPr>
    </w:tblStylePr>
    <w:tblStylePr w:type="firstCol">
      <w:rPr>
        <w:b/>
        <w:sz w:val="22"/>
      </w:rPr>
      <w:tblPr/>
      <w:tcPr>
        <w:shd w:val="clear" w:color="4472C4" w:fill="4472C4" w:themeFill="accent5"/>
      </w:tcPr>
    </w:tblStylePr>
    <w:tblStylePr w:type="lastCol">
      <w:rPr>
        <w:b/>
        <w:sz w:val="22"/>
      </w:rPr>
      <w:tblPr/>
      <w:tcPr>
        <w:shd w:val="clear" w:color="4472C4" w:fill="4472C4" w:themeFill="accent5"/>
      </w:tcPr>
    </w:tblStylePr>
    <w:tblStylePr w:type="band1Vert">
      <w:tblPr/>
      <w:tcPr>
        <w:shd w:val="clear" w:color="A9BEE4" w:fill="A9BEE4" w:themeFill="accent5" w:themeFillTint="75"/>
      </w:tcPr>
    </w:tblStylePr>
    <w:tblStylePr w:type="band1Horz">
      <w:tblPr/>
      <w:tcPr>
        <w:shd w:val="clear" w:color="A9BEE4"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70AD47" w:fill="70AD47" w:themeFill="accent6"/>
      </w:tcPr>
    </w:tblStylePr>
    <w:tblStylePr w:type="lastRow">
      <w:rPr>
        <w:b/>
        <w:sz w:val="22"/>
      </w:rPr>
      <w:tblPr/>
      <w:tcPr>
        <w:tcBorders>
          <w:top w:val="single" w:color="FFFFFF" w:themeColor="light1" w:sz="4" w:space="0"/>
        </w:tcBorders>
        <w:shd w:val="clear" w:color="70AD47" w:fill="70AD47" w:themeFill="accent6"/>
      </w:tcPr>
    </w:tblStylePr>
    <w:tblStylePr w:type="firstCol">
      <w:rPr>
        <w:b/>
        <w:sz w:val="22"/>
      </w:rPr>
      <w:tblPr/>
      <w:tcPr>
        <w:shd w:val="clear" w:color="70AD47" w:fill="70AD47" w:themeFill="accent6"/>
      </w:tcPr>
    </w:tblStylePr>
    <w:tblStylePr w:type="lastCol">
      <w:rPr>
        <w:b/>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themeColor="accent1" w:themeTint="80" w:themeShade="95"/>
      </w:rPr>
      <w:tblPr/>
      <w:tcPr>
        <w:tcBorders>
          <w:bottom w:val="single" w:color="ACCCEA"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DEAF6" w:fill="DDEAF6" w:themeFill="accent1" w:themeFillTint="34"/>
      </w:tcPr>
    </w:tblStylePr>
    <w:tblStylePr w:type="band1Horz">
      <w:rPr>
        <w:color w:themeColor="accent1" w:themeTint="80" w:themeShade="95"/>
        <w:sz w:val="22"/>
      </w:rPr>
      <w:tblPr/>
      <w:tcPr>
        <w:shd w:val="clear" w:color="DDEAF6" w:fill="DDEAF6"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themeColor="accent2" w:themeTint="97" w:themeShade="95"/>
      </w:rPr>
      <w:tblPr/>
      <w:tcPr>
        <w:tcBorders>
          <w:bottom w:val="single" w:color="F4B184"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BE5D6" w:fill="FBE5D6" w:themeFill="accent2" w:themeFillTint="32"/>
      </w:tcPr>
    </w:tblStylePr>
    <w:tblStylePr w:type="band1Horz">
      <w:rPr>
        <w:color w:themeColor="accent2" w:themeTint="97" w:themeShade="95"/>
        <w:sz w:val="22"/>
      </w:rPr>
      <w:tblPr/>
      <w:tcPr>
        <w:shd w:val="clear" w:color="FBE5D6" w:fill="FBE5D6"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themeColor="accent3" w:themeTint="fe" w:themeShade="95"/>
      </w:rPr>
      <w:tblPr/>
      <w:tcPr>
        <w:tcBorders>
          <w:bottom w:val="single" w:color="A5A5A5"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CECEC" w:fill="ECECEC" w:themeFill="accent3" w:themeFillTint="34"/>
      </w:tcPr>
    </w:tblStylePr>
    <w:tblStylePr w:type="band1Horz">
      <w:rPr>
        <w:color w:themeColor="accent3" w:themeTint="fe" w:themeShade="95"/>
        <w:sz w:val="22"/>
      </w:rPr>
      <w:tblPr/>
      <w:tcPr>
        <w:shd w:val="clear" w:color="ECECEC" w:fill="ECECE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themeColor="accent4" w:themeTint="9a" w:themeShade="95"/>
      </w:rPr>
      <w:tblPr/>
      <w:tcPr>
        <w:tcBorders>
          <w:bottom w:val="single" w:color="FFD865"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FFF2CB" w:fill="FFF2CB" w:themeFill="accent4" w:themeFillTint="34"/>
      </w:tcPr>
    </w:tblStylePr>
    <w:tblStylePr w:type="band1Horz">
      <w:rPr>
        <w:color w:themeColor="accent4" w:themeTint="9a" w:themeShade="95"/>
        <w:sz w:val="22"/>
      </w:rPr>
      <w:tblPr/>
      <w:tcPr>
        <w:shd w:val="clear" w:color="FFF2CB" w:fill="FFF2CB"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themeColor="accent5" w:themeShade="95"/>
      </w:rPr>
      <w:tblPr/>
      <w:tcPr>
        <w:tcBorders>
          <w:bottom w:val="single" w:color="4472C4"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8E2F3" w:fill="D8E2F3" w:themeFill="accent5" w:themeFillTint="34"/>
      </w:tcPr>
    </w:tblStylePr>
    <w:tblStylePr w:type="band1Horz">
      <w:rPr>
        <w:color w:themeColor="accent5" w:themeShade="95"/>
        <w:sz w:val="22"/>
      </w:rPr>
      <w:tblPr/>
      <w:tcPr>
        <w:shd w:val="clear" w:color="D8E2F3" w:fill="D8E2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themeColor="accent5" w:themeShade="95"/>
      </w:rPr>
      <w:tblPr/>
      <w:tcPr>
        <w:tcBorders>
          <w:bottom w:val="single" w:color="70AD47"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E1EFD8" w:fill="E1EFD8" w:themeFill="accent6" w:themeFillTint="34"/>
      </w:tcPr>
    </w:tblStylePr>
    <w:tblStylePr w:type="band1Horz">
      <w:rPr>
        <w:color w:themeColor="accent5" w:themeShade="95"/>
        <w:sz w:val="22"/>
      </w:rPr>
      <w:tblPr/>
      <w:tcPr>
        <w:shd w:val="clear" w:color="E1EFD8" w:fill="E1EFD8" w:themeFill="accent6" w:themeFillTint="34"/>
      </w:tcPr>
    </w:tblStylePr>
    <w:tblStylePr w:type="band2Horz">
      <w:rPr>
        <w:color w:themeColor="accent5" w:themeShade="95"/>
        <w:sz w:val="22"/>
      </w:rPr>
      <w:tblPr/>
    </w:tblStylePr>
  </w:style>
  <w:style w:type="table" w:styleId="-7">
    <w:name w:val="Grid Table 7 Colorful"/>
    <w:basedOn w:val="a1"/>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ACCCEA"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ACCCEA"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CCCEA"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ACCCEA" w:themeColor="accent1" w:sz="4" w:space="0"/>
          <w:bottom w:val="none" w:color="000000" w:sz="4" w:space="0"/>
          <w:right w:val="none" w:color="000000" w:sz="4" w:space="0"/>
        </w:tcBorders>
        <w:shd w:val="clear" w:color="FFFFFF" w:fill="auto"/>
      </w:tcPr>
    </w:tblStylePr>
    <w:tblStylePr w:type="band1Vert">
      <w:tblPr/>
      <w:tcPr>
        <w:shd w:val="clear" w:color="DDEAF6" w:fill="DDEAF6" w:themeFill="accent1" w:themeFillTint="34"/>
      </w:tcPr>
    </w:tblStylePr>
    <w:tblStylePr w:type="band1Horz">
      <w:rPr>
        <w:color w:themeColor="accent1" w:themeTint="80" w:themeShade="95"/>
        <w:sz w:val="22"/>
      </w:rPr>
      <w:tblPr/>
      <w:tcPr>
        <w:shd w:val="clear" w:color="DDEAF6" w:fill="DDEAF6"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F4B184"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F4B184"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F4B184"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F4B184" w:themeColor="accent2" w:sz="4" w:space="0"/>
          <w:bottom w:val="none" w:color="000000" w:sz="4" w:space="0"/>
          <w:right w:val="none" w:color="000000" w:sz="4" w:space="0"/>
        </w:tcBorders>
        <w:shd w:val="clear" w:color="FFFFFF" w:fill="auto"/>
      </w:tcPr>
    </w:tblStylePr>
    <w:tblStylePr w:type="band1Vert">
      <w:tblPr/>
      <w:tcPr>
        <w:shd w:val="clear" w:color="FBE5D6" w:fill="FBE5D6" w:themeFill="accent2" w:themeFillTint="32"/>
      </w:tcPr>
    </w:tblStylePr>
    <w:tblStylePr w:type="band1Horz">
      <w:rPr>
        <w:color w:themeColor="accent2" w:themeTint="97" w:themeShade="95"/>
        <w:sz w:val="22"/>
      </w:rPr>
      <w:tblPr/>
      <w:tcPr>
        <w:shd w:val="clear" w:color="FBE5D6" w:fill="FBE5D6"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A5A5A5"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A5A5A5"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A5A5A5"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A5A5A5" w:themeColor="accent3" w:sz="4" w:space="0"/>
          <w:bottom w:val="none" w:color="000000" w:sz="4" w:space="0"/>
          <w:right w:val="none" w:color="000000" w:sz="4" w:space="0"/>
        </w:tcBorders>
        <w:shd w:val="clear" w:color="FFFFFF" w:fill="auto"/>
      </w:tcPr>
    </w:tblStylePr>
    <w:tblStylePr w:type="band1Vert">
      <w:tblPr/>
      <w:tcPr>
        <w:shd w:val="clear" w:color="ECECEC" w:fill="ECECEC" w:themeFill="accent3" w:themeFillTint="34"/>
      </w:tcPr>
    </w:tblStylePr>
    <w:tblStylePr w:type="band1Horz">
      <w:rPr>
        <w:color w:themeColor="accent3" w:themeTint="fe" w:themeShade="95"/>
        <w:sz w:val="22"/>
      </w:rPr>
      <w:tblPr/>
      <w:tcPr>
        <w:shd w:val="clear" w:color="ECECEC" w:fill="ECECE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FFD865"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FFD865"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FFD865"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FFD865" w:themeColor="accent4" w:sz="4" w:space="0"/>
          <w:bottom w:val="none" w:color="000000" w:sz="4" w:space="0"/>
          <w:right w:val="none" w:color="000000" w:sz="4" w:space="0"/>
        </w:tcBorders>
        <w:shd w:val="clear" w:color="FFFFFF" w:fill="auto"/>
      </w:tcPr>
    </w:tblStylePr>
    <w:tblStylePr w:type="band1Vert">
      <w:tblPr/>
      <w:tcPr>
        <w:shd w:val="clear" w:color="FFF2CB" w:fill="FFF2CB" w:themeFill="accent4" w:themeFillTint="34"/>
      </w:tcPr>
    </w:tblStylePr>
    <w:tblStylePr w:type="band1Horz">
      <w:rPr>
        <w:color w:themeColor="accent4" w:themeTint="9a" w:themeShade="95"/>
        <w:sz w:val="22"/>
      </w:rPr>
      <w:tblPr/>
      <w:tcPr>
        <w:shd w:val="clear" w:color="FFF2CB" w:fill="FFF2CB"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95AFDD"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95AFDD"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5AFDD" w:themeColor="accent5" w:sz="4" w:space="0"/>
        </w:tcBorders>
        <w:shd w:val="clear" w:color="FFFFFF" w:fill="auto"/>
      </w:tcPr>
    </w:tblStylePr>
    <w:tblStylePr w:type="lastCol">
      <w:rPr>
        <w:i/>
        <w:color w:themeColor="accent5" w:themeShade="95"/>
        <w:sz w:val="22"/>
      </w:rPr>
      <w:tblPr/>
      <w:tcPr>
        <w:tcBorders>
          <w:top w:val="none" w:color="000000" w:sz="4" w:space="0"/>
          <w:left w:val="single" w:color="95AFDD" w:themeColor="accent5" w:sz="4" w:space="0"/>
          <w:bottom w:val="none" w:color="000000" w:sz="4" w:space="0"/>
          <w:right w:val="none" w:color="000000" w:sz="4" w:space="0"/>
        </w:tcBorders>
        <w:shd w:val="clear" w:color="FFFFFF" w:fill="auto"/>
      </w:tcPr>
    </w:tblStylePr>
    <w:tblStylePr w:type="band1Vert">
      <w:tblPr/>
      <w:tcPr>
        <w:shd w:val="clear" w:color="D8E2F3" w:fill="D8E2F3" w:themeFill="accent5" w:themeFillTint="34"/>
      </w:tcPr>
    </w:tblStylePr>
    <w:tblStylePr w:type="band1Horz">
      <w:rPr>
        <w:color w:themeColor="accent5" w:themeShade="95"/>
        <w:sz w:val="22"/>
      </w:rPr>
      <w:tblPr/>
      <w:tcPr>
        <w:shd w:val="clear" w:color="D8E2F3" w:fill="D8E2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ADD394"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ADD394"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ADD394" w:themeColor="accent6" w:sz="4" w:space="0"/>
        </w:tcBorders>
        <w:shd w:val="clear" w:color="FFFFFF" w:fill="auto"/>
      </w:tcPr>
    </w:tblStylePr>
    <w:tblStylePr w:type="lastCol">
      <w:rPr>
        <w:i/>
        <w:color w:themeColor="accent6" w:themeShade="95"/>
        <w:sz w:val="22"/>
      </w:rPr>
      <w:tblPr/>
      <w:tcPr>
        <w:tcBorders>
          <w:top w:val="none" w:color="000000" w:sz="4" w:space="0"/>
          <w:left w:val="single" w:color="ADD394" w:themeColor="accent6" w:sz="4" w:space="0"/>
          <w:bottom w:val="none" w:color="000000" w:sz="4" w:space="0"/>
          <w:right w:val="none" w:color="000000" w:sz="4" w:space="0"/>
        </w:tcBorders>
        <w:shd w:val="clear" w:color="FFFFFF" w:fill="auto"/>
      </w:tcPr>
    </w:tblStylePr>
    <w:tblStylePr w:type="band1Vert">
      <w:tblPr/>
      <w:tcPr>
        <w:shd w:val="clear" w:color="E1EFD8" w:fill="E1EFD8" w:themeFill="accent6" w:themeFillTint="34"/>
      </w:tcPr>
    </w:tblStylePr>
    <w:tblStylePr w:type="band1Horz">
      <w:rPr>
        <w:color w:themeColor="accent6" w:themeShade="95"/>
        <w:sz w:val="22"/>
      </w:rPr>
      <w:tblPr/>
      <w:tcPr>
        <w:shd w:val="clear" w:color="E1EFD8" w:fill="E1EFD8" w:themeFill="accent6" w:themeFillTint="34"/>
      </w:tcPr>
    </w:tblStylePr>
    <w:tblStylePr w:type="band2Horz">
      <w:rPr>
        <w:color w:themeColor="accent6" w:themeShade="95"/>
        <w:sz w:val="22"/>
      </w:rPr>
      <w:tblPr/>
    </w:tblStylePr>
  </w:style>
  <w:style w:type="table" w:styleId="-10">
    <w:name w:val="List Table 1 Light"/>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5B9BD5" w:themeColor="accent1" w:sz="4" w:space="0"/>
          <w:right w:val="none" w:color="000000" w:sz="4" w:space="0"/>
        </w:tcBorders>
      </w:tcPr>
    </w:tblStylePr>
    <w:tblStylePr w:type="lastRow">
      <w:rPr>
        <w:b/>
      </w:rPr>
      <w:tblPr/>
      <w:tcPr>
        <w:tcBorders>
          <w:top w:val="single" w:color="5B9BD5"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5E5F4" w:fill="D5E5F4" w:themeFill="accent1" w:themeFillTint="40"/>
      </w:tcPr>
    </w:tblStylePr>
    <w:tblStylePr w:type="band1Horz">
      <w:tblPr/>
      <w:tcPr>
        <w:shd w:val="clear" w:color="D5E5F4"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ED7D31" w:themeColor="accent2" w:sz="4" w:space="0"/>
          <w:right w:val="none" w:color="000000" w:sz="4" w:space="0"/>
        </w:tcBorders>
      </w:tcPr>
    </w:tblStylePr>
    <w:tblStylePr w:type="lastRow">
      <w:rPr>
        <w:b/>
      </w:rPr>
      <w:tblPr/>
      <w:tcPr>
        <w:tcBorders>
          <w:top w:val="single" w:color="ED7D31"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A5A5A5" w:themeColor="accent3" w:sz="4" w:space="0"/>
          <w:right w:val="none" w:color="000000" w:sz="4" w:space="0"/>
        </w:tcBorders>
      </w:tcPr>
    </w:tblStylePr>
    <w:tblStylePr w:type="lastRow">
      <w:rPr>
        <w:b/>
      </w:rPr>
      <w:tblPr/>
      <w:tcPr>
        <w:tcBorders>
          <w:top w:val="single" w:color="A5A5A5"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FFC000" w:themeColor="accent4" w:sz="4" w:space="0"/>
          <w:right w:val="none" w:color="000000" w:sz="4" w:space="0"/>
        </w:tcBorders>
      </w:tcPr>
    </w:tblStylePr>
    <w:tblStylePr w:type="lastRow">
      <w:rPr>
        <w:b/>
      </w:rPr>
      <w:tblPr/>
      <w:tcPr>
        <w:tcBorders>
          <w:top w:val="single" w:color="FFC000"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4472C4" w:themeColor="accent5" w:sz="4" w:space="0"/>
          <w:right w:val="none" w:color="000000" w:sz="4" w:space="0"/>
        </w:tcBorders>
      </w:tcPr>
    </w:tblStylePr>
    <w:tblStylePr w:type="lastRow">
      <w:rPr>
        <w:b/>
      </w:rPr>
      <w:tblPr/>
      <w:tcPr>
        <w:tcBorders>
          <w:top w:val="single" w:color="4472C4"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CFDBF0" w:fill="CFDBF0" w:themeFill="accent5" w:themeFillTint="40"/>
      </w:tcPr>
    </w:tblStylePr>
    <w:tblStylePr w:type="band1Horz">
      <w:tblPr/>
      <w:tcPr>
        <w:shd w:val="clear" w:color="CFDBF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70AD47" w:themeColor="accent6" w:sz="4" w:space="0"/>
          <w:right w:val="none" w:color="000000" w:sz="4" w:space="0"/>
        </w:tcBorders>
      </w:tcPr>
    </w:tblStylePr>
    <w:tblStylePr w:type="lastRow">
      <w:rPr>
        <w:b/>
      </w:rPr>
      <w:tblPr/>
      <w:tcPr>
        <w:tcBorders>
          <w:top w:val="single" w:color="70AD47"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b/>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lastRow">
      <w:rPr>
        <w:b/>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5E5F4" w:fill="D5E5F4" w:themeFill="accent1" w:themeFillTint="40"/>
      </w:tcPr>
    </w:tblStylePr>
    <w:tblStylePr w:type="band1Horz">
      <w:rPr>
        <w:sz w:val="22"/>
      </w:rPr>
      <w:tblPr/>
      <w:tcPr>
        <w:shd w:val="clear" w:color="D5E5F4"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b/>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lastRow">
      <w:rPr>
        <w:b/>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b/>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lastRow">
      <w:rPr>
        <w:b/>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firstRow">
      <w:rPr>
        <w:b/>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lastRow">
      <w:rPr>
        <w:b/>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b/>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lastRow">
      <w:rPr>
        <w:b/>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CFDBF0" w:fill="CFDBF0" w:themeFill="accent5" w:themeFillTint="40"/>
      </w:tcPr>
    </w:tblStylePr>
    <w:tblStylePr w:type="band1Horz">
      <w:rPr>
        <w:sz w:val="22"/>
      </w:rPr>
      <w:tblPr/>
      <w:tcPr>
        <w:shd w:val="clear" w:color="CFDBF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b/>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lastRow">
      <w:rPr>
        <w:b/>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sz w:val="22"/>
      </w:rPr>
      <w:tblPr/>
      <w:tcPr>
        <w:shd w:val="clear" w:color="5B9BD5" w:fill="5B9BD5"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5B9BD5" w:themeColor="accent1" w:sz="4" w:space="0"/>
          <w:right w:val="single" w:color="5B9BD5" w:themeColor="accent1" w:sz="4" w:space="0"/>
        </w:tcBorders>
      </w:tcPr>
    </w:tblStylePr>
    <w:tblStylePr w:type="band1Horz">
      <w:rPr>
        <w:sz w:val="22"/>
      </w:rPr>
      <w:tblPr/>
      <w:tcPr>
        <w:tcBorders>
          <w:top w:val="single" w:color="5B9BD5" w:themeColor="accent1" w:sz="4" w:space="0"/>
          <w:bottom w:val="single" w:color="5B9BD5" w:themeColor="accent1" w:sz="4" w:space="0"/>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firstRow">
      <w:rPr>
        <w:b/>
        <w:sz w:val="22"/>
      </w:rPr>
      <w:tblPr/>
      <w:tcPr>
        <w:shd w:val="clear" w:color="F4B184" w:fill="F4B184"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4B184" w:themeColor="accent2" w:sz="4" w:space="0"/>
          <w:right w:val="single" w:color="F4B184" w:themeColor="accent2" w:sz="4" w:space="0"/>
        </w:tcBorders>
      </w:tcPr>
    </w:tblStylePr>
    <w:tblStylePr w:type="band1Horz">
      <w:rPr>
        <w:sz w:val="22"/>
      </w:rPr>
      <w:tblPr/>
      <w:tcPr>
        <w:tcBorders>
          <w:top w:val="single" w:color="F4B184" w:themeColor="accent2" w:sz="4" w:space="0"/>
          <w:bottom w:val="single" w:color="F4B184" w:themeColor="accent2" w:sz="4" w:space="0"/>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b/>
        <w:sz w:val="22"/>
      </w:rPr>
      <w:tblPr/>
      <w:tcPr>
        <w:shd w:val="clear" w:color="C9C9C9" w:fill="C9C9C9"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9C9C9" w:themeColor="accent3" w:sz="4" w:space="0"/>
          <w:right w:val="single" w:color="C9C9C9" w:themeColor="accent3" w:sz="4" w:space="0"/>
        </w:tcBorders>
      </w:tcPr>
    </w:tblStylePr>
    <w:tblStylePr w:type="band1Horz">
      <w:rPr>
        <w:sz w:val="22"/>
      </w:rPr>
      <w:tblPr/>
      <w:tcPr>
        <w:tcBorders>
          <w:top w:val="single" w:color="C9C9C9" w:themeColor="accent3" w:sz="4" w:space="0"/>
          <w:bottom w:val="single" w:color="C9C9C9" w:themeColor="accent3" w:sz="4" w:space="0"/>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firstRow">
      <w:rPr>
        <w:b/>
        <w:sz w:val="22"/>
      </w:rPr>
      <w:tblPr/>
      <w:tcPr>
        <w:shd w:val="clear" w:color="FFD865" w:fill="FFD865"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FD865" w:themeColor="accent4" w:sz="4" w:space="0"/>
          <w:right w:val="single" w:color="FFD865" w:themeColor="accent4" w:sz="4" w:space="0"/>
        </w:tcBorders>
      </w:tcPr>
    </w:tblStylePr>
    <w:tblStylePr w:type="band1Horz">
      <w:rPr>
        <w:sz w:val="22"/>
      </w:rPr>
      <w:tblPr/>
      <w:tcPr>
        <w:tcBorders>
          <w:top w:val="single" w:color="FFD865" w:themeColor="accent4" w:sz="4" w:space="0"/>
          <w:bottom w:val="single" w:color="FFD865" w:themeColor="accent4" w:sz="4" w:space="0"/>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firstRow">
      <w:rPr>
        <w:b/>
        <w:sz w:val="22"/>
      </w:rPr>
      <w:tblPr/>
      <w:tcPr>
        <w:shd w:val="clear" w:color="8DA9DB" w:fill="8DA9DB"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8DA9DB" w:themeColor="accent5" w:sz="4" w:space="0"/>
          <w:right w:val="single" w:color="8DA9DB" w:themeColor="accent5" w:sz="4" w:space="0"/>
        </w:tcBorders>
      </w:tcPr>
    </w:tblStylePr>
    <w:tblStylePr w:type="band1Horz">
      <w:rPr>
        <w:sz w:val="22"/>
      </w:rPr>
      <w:tblPr/>
      <w:tcPr>
        <w:tcBorders>
          <w:top w:val="single" w:color="8DA9DB" w:themeColor="accent5" w:sz="4" w:space="0"/>
          <w:bottom w:val="single" w:color="8DA9DB" w:themeColor="accent5" w:sz="4" w:space="0"/>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b/>
        <w:sz w:val="22"/>
      </w:rPr>
      <w:tblPr/>
      <w:tcPr>
        <w:shd w:val="clear" w:color="A9D08E" w:fill="A9D08E"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A9D08E" w:themeColor="accent6" w:sz="4" w:space="0"/>
          <w:right w:val="single" w:color="A9D08E" w:themeColor="accent6" w:sz="4" w:space="0"/>
        </w:tcBorders>
      </w:tcPr>
    </w:tblStylePr>
    <w:tblStylePr w:type="band1Horz">
      <w:rPr>
        <w:sz w:val="22"/>
      </w:rPr>
      <w:tblPr/>
      <w:tcPr>
        <w:tcBorders>
          <w:top w:val="single" w:color="A9D08E" w:themeColor="accent6" w:sz="4" w:space="0"/>
          <w:bottom w:val="single" w:color="A9D08E" w:themeColor="accent6" w:sz="4" w:space="0"/>
        </w:tcBorders>
      </w:tcPr>
    </w:tblStylePr>
  </w:style>
  <w:style w:type="table" w:styleId="-40">
    <w:name w:val="List Table 4"/>
    <w:basedOn w:val="a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b/>
        <w:sz w:val="22"/>
      </w:rPr>
      <w:tblPr/>
      <w:tcPr>
        <w:shd w:val="clear" w:color="5B9BD5" w:fill="5B9BD5"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5E5F4" w:fill="D5E5F4" w:themeFill="accent1" w:themeFillTint="40"/>
      </w:tcPr>
    </w:tblStylePr>
    <w:tblStylePr w:type="band1Horz">
      <w:rPr>
        <w:sz w:val="22"/>
      </w:rPr>
      <w:tblPr/>
      <w:tcPr>
        <w:shd w:val="clear" w:color="D5E5F4"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b/>
        <w:sz w:val="22"/>
      </w:rPr>
      <w:tblPr/>
      <w:tcPr>
        <w:shd w:val="clear" w:color="ED7D31" w:fill="ED7D31"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b/>
        <w:sz w:val="22"/>
      </w:rPr>
      <w:tblPr/>
      <w:tcPr>
        <w:shd w:val="clear" w:color="A5A5A5" w:fill="A5A5A5"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firstRow">
      <w:rPr>
        <w:b/>
        <w:sz w:val="22"/>
      </w:rPr>
      <w:tblPr/>
      <w:tcPr>
        <w:shd w:val="clear" w:color="FFC000" w:fill="FFC000"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b/>
        <w:sz w:val="22"/>
      </w:rPr>
      <w:tblPr/>
      <w:tcPr>
        <w:shd w:val="clear" w:color="4472C4" w:fill="4472C4"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CFDBF0" w:fill="CFDBF0" w:themeFill="accent5" w:themeFillTint="40"/>
      </w:tcPr>
    </w:tblStylePr>
    <w:tblStylePr w:type="band1Horz">
      <w:rPr>
        <w:sz w:val="22"/>
      </w:rPr>
      <w:tblPr/>
      <w:tcPr>
        <w:shd w:val="clear" w:color="CFDBF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b/>
        <w:sz w:val="22"/>
      </w:rPr>
      <w:tblPr/>
      <w:tcPr>
        <w:shd w:val="clear" w:color="70AD47" w:fill="70AD47"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b/>
        <w:color w:themeColor="light1"/>
        <w:sz w:val="22"/>
      </w:rPr>
      <w:tblPr/>
      <w:tcPr>
        <w:tcBorders>
          <w:top w:val="single" w:color="5B9BD5" w:themeColor="accent1" w:sz="32" w:space="0"/>
          <w:bottom w:val="single" w:color="FFFFFF" w:themeColor="light1" w:sz="12" w:space="0"/>
        </w:tcBorders>
        <w:shd w:val="clear" w:color="5B9BD5" w:fill="5B9BD5" w:themeFill="accent1"/>
      </w:tcPr>
    </w:tblStylePr>
    <w:tblStylePr w:type="lastRow">
      <w:rPr>
        <w:b/>
        <w:color w:themeColor="light1"/>
        <w:sz w:val="22"/>
      </w:rPr>
      <w:tblPr/>
    </w:tblStylePr>
    <w:tblStylePr w:type="firstCol">
      <w:rPr>
        <w:b/>
        <w:color w:themeColor="light1"/>
        <w:sz w:val="22"/>
      </w:rPr>
      <w:tblPr/>
      <w:tcPr>
        <w:tcBorders>
          <w:left w:val="single" w:color="5B9BD5" w:themeColor="accent1" w:sz="32" w:space="0"/>
          <w:right w:val="single" w:color="FFFFFF" w:themeColor="light1" w:sz="4" w:space="0"/>
        </w:tcBorders>
      </w:tcPr>
    </w:tblStylePr>
    <w:tblStylePr w:type="lastCol">
      <w:tblPr/>
      <w:tcPr>
        <w:tcBorders>
          <w:left w:val="single" w:color="FFFFFF" w:themeColor="light1" w:sz="4" w:space="0"/>
          <w:right w:val="single" w:color="5B9BD5" w:themeColor="accent1" w:sz="32" w:space="0"/>
        </w:tcBorders>
      </w:tcPr>
    </w:tblStylePr>
    <w:tblStylePr w:type="band1Vert">
      <w:tblPr/>
      <w:tcPr>
        <w:tcBorders>
          <w:left w:val="single" w:color="FFFFFF" w:themeColor="light1" w:sz="4" w:space="0"/>
          <w:right w:val="single" w:color="FFFFFF" w:themeColor="light1" w:sz="4" w:space="0"/>
        </w:tcBorders>
        <w:shd w:val="clear" w:color="5B9BD5" w:fill="5B9BD5"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5B9BD5" w:fill="5B9BD5" w:themeFill="accent1"/>
      </w:tcPr>
    </w:tblStylePr>
    <w:tblStylePr w:type="band2Horz">
      <w:tblPr/>
      <w:tcPr>
        <w:tcBorders>
          <w:top w:val="single" w:color="FFFFFF" w:themeColor="light1" w:sz="4" w:space="0"/>
          <w:bottom w:val="single" w:color="FFFFFF" w:themeColor="light1" w:sz="4" w:space="0"/>
        </w:tcBorders>
        <w:shd w:val="clear" w:color="5B9BD5"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firstRow">
      <w:rPr>
        <w:b/>
        <w:color w:themeColor="light1"/>
        <w:sz w:val="22"/>
      </w:rPr>
      <w:tblPr/>
      <w:tcPr>
        <w:tcBorders>
          <w:top w:val="single" w:color="F4B184" w:themeColor="accent2" w:sz="32" w:space="0"/>
          <w:bottom w:val="single" w:color="FFFFFF" w:themeColor="light1" w:sz="12" w:space="0"/>
        </w:tcBorders>
        <w:shd w:val="clear" w:color="F4B184" w:fill="F4B184" w:themeFill="accent2" w:themeFillTint="97"/>
      </w:tcPr>
    </w:tblStylePr>
    <w:tblStylePr w:type="lastRow">
      <w:rPr>
        <w:b/>
        <w:color w:themeColor="light1"/>
        <w:sz w:val="22"/>
      </w:rPr>
      <w:tblPr/>
    </w:tblStylePr>
    <w:tblStylePr w:type="firstCol">
      <w:rPr>
        <w:b/>
        <w:color w:themeColor="light1"/>
        <w:sz w:val="22"/>
      </w:rPr>
      <w:tblPr/>
      <w:tcPr>
        <w:tcBorders>
          <w:left w:val="single" w:color="F4B184" w:themeColor="accent2" w:sz="32" w:space="0"/>
          <w:right w:val="single" w:color="FFFFFF" w:themeColor="light1" w:sz="4" w:space="0"/>
        </w:tcBorders>
      </w:tcPr>
    </w:tblStylePr>
    <w:tblStylePr w:type="lastCol">
      <w:tblPr/>
      <w:tcPr>
        <w:tcBorders>
          <w:left w:val="single" w:color="FFFFFF" w:themeColor="light1" w:sz="4" w:space="0"/>
          <w:right w:val="single" w:color="F4B184" w:themeColor="accent2" w:sz="32" w:space="0"/>
        </w:tcBorders>
      </w:tcPr>
    </w:tblStylePr>
    <w:tblStylePr w:type="band1Vert">
      <w:tblPr/>
      <w:tcPr>
        <w:tcBorders>
          <w:left w:val="single" w:color="FFFFFF" w:themeColor="light1" w:sz="4" w:space="0"/>
          <w:right w:val="single" w:color="FFFFFF" w:themeColor="light1" w:sz="4" w:space="0"/>
        </w:tcBorders>
        <w:shd w:val="clear" w:color="F4B184"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184" w:fill="F4B184" w:themeFill="accent2" w:themeFillTint="97"/>
      </w:tcPr>
    </w:tblStylePr>
    <w:tblStylePr w:type="band2Horz">
      <w:tblPr/>
      <w:tcPr>
        <w:tcBorders>
          <w:top w:val="single" w:color="FFFFFF" w:themeColor="light1" w:sz="4" w:space="0"/>
          <w:bottom w:val="single" w:color="FFFFFF" w:themeColor="light1" w:sz="4" w:space="0"/>
        </w:tcBorders>
        <w:shd w:val="clear" w:color="F4B184"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b/>
        <w:color w:themeColor="light1"/>
        <w:sz w:val="22"/>
      </w:rPr>
      <w:tblPr/>
      <w:tcPr>
        <w:tcBorders>
          <w:top w:val="single" w:color="C9C9C9" w:themeColor="accent3" w:sz="32" w:space="0"/>
          <w:bottom w:val="single" w:color="FFFFFF" w:themeColor="light1" w:sz="12" w:space="0"/>
        </w:tcBorders>
        <w:shd w:val="clear" w:color="C9C9C9" w:fill="C9C9C9" w:themeFill="accent3" w:themeFillTint="98"/>
      </w:tcPr>
    </w:tblStylePr>
    <w:tblStylePr w:type="lastRow">
      <w:rPr>
        <w:b/>
        <w:color w:themeColor="light1"/>
        <w:sz w:val="22"/>
      </w:rPr>
      <w:tblPr/>
    </w:tblStylePr>
    <w:tblStylePr w:type="firstCol">
      <w:rPr>
        <w:b/>
        <w:color w:themeColor="light1"/>
        <w:sz w:val="22"/>
      </w:rPr>
      <w:tblPr/>
      <w:tcPr>
        <w:tcBorders>
          <w:left w:val="single" w:color="C9C9C9" w:themeColor="accent3" w:sz="32" w:space="0"/>
          <w:right w:val="single" w:color="FFFFFF" w:themeColor="light1" w:sz="4" w:space="0"/>
        </w:tcBorders>
      </w:tcPr>
    </w:tblStylePr>
    <w:tblStylePr w:type="lastCol">
      <w:tblPr/>
      <w:tcPr>
        <w:tcBorders>
          <w:left w:val="single" w:color="FFFFFF" w:themeColor="light1" w:sz="4" w:space="0"/>
          <w:right w:val="single" w:color="C9C9C9" w:themeColor="accent3" w:sz="32" w:space="0"/>
        </w:tcBorders>
      </w:tcPr>
    </w:tblStylePr>
    <w:tblStylePr w:type="band1Vert">
      <w:tblPr/>
      <w:tcPr>
        <w:tcBorders>
          <w:left w:val="single" w:color="FFFFFF" w:themeColor="light1" w:sz="4" w:space="0"/>
          <w:right w:val="single" w:color="FFFFFF" w:themeColor="light1" w:sz="4" w:space="0"/>
        </w:tcBorders>
        <w:shd w:val="clear" w:color="C9C9C9"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9C9C9"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firstRow">
      <w:rPr>
        <w:b/>
        <w:color w:themeColor="light1"/>
        <w:sz w:val="22"/>
      </w:rPr>
      <w:tblPr/>
      <w:tcPr>
        <w:tcBorders>
          <w:top w:val="single" w:color="FFD865" w:themeColor="accent4" w:sz="32" w:space="0"/>
          <w:bottom w:val="single" w:color="FFFFFF" w:themeColor="light1" w:sz="12" w:space="0"/>
        </w:tcBorders>
        <w:shd w:val="clear" w:color="FFD865" w:fill="FFD865" w:themeFill="accent4" w:themeFillTint="9a"/>
      </w:tcPr>
    </w:tblStylePr>
    <w:tblStylePr w:type="lastRow">
      <w:rPr>
        <w:b/>
        <w:color w:themeColor="light1"/>
        <w:sz w:val="22"/>
      </w:rPr>
      <w:tblPr/>
    </w:tblStylePr>
    <w:tblStylePr w:type="firstCol">
      <w:rPr>
        <w:b/>
        <w:color w:themeColor="light1"/>
        <w:sz w:val="22"/>
      </w:rPr>
      <w:tblPr/>
      <w:tcPr>
        <w:tcBorders>
          <w:left w:val="single" w:color="FFD865" w:themeColor="accent4" w:sz="32" w:space="0"/>
          <w:right w:val="single" w:color="FFFFFF" w:themeColor="light1" w:sz="4" w:space="0"/>
        </w:tcBorders>
      </w:tcPr>
    </w:tblStylePr>
    <w:tblStylePr w:type="lastCol">
      <w:tblPr/>
      <w:tcPr>
        <w:tcBorders>
          <w:left w:val="single" w:color="FFFFFF" w:themeColor="light1" w:sz="4" w:space="0"/>
          <w:right w:val="single" w:color="FFD865" w:themeColor="accent4" w:sz="32" w:space="0"/>
        </w:tcBorders>
      </w:tcPr>
    </w:tblStylePr>
    <w:tblStylePr w:type="band1Vert">
      <w:tblPr/>
      <w:tcPr>
        <w:tcBorders>
          <w:left w:val="single" w:color="FFFFFF" w:themeColor="light1" w:sz="4" w:space="0"/>
          <w:right w:val="single" w:color="FFFFFF" w:themeColor="light1" w:sz="4" w:space="0"/>
        </w:tcBorders>
        <w:shd w:val="clear" w:color="FFD865"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D865" w:fill="FFD865" w:themeFill="accent4" w:themeFillTint="9a"/>
      </w:tcPr>
    </w:tblStylePr>
    <w:tblStylePr w:type="band2Horz">
      <w:tblPr/>
      <w:tcPr>
        <w:tcBorders>
          <w:top w:val="single" w:color="FFFFFF" w:themeColor="light1" w:sz="4" w:space="0"/>
          <w:bottom w:val="single" w:color="FFFFFF" w:themeColor="light1" w:sz="4" w:space="0"/>
        </w:tcBorders>
        <w:shd w:val="clear" w:color="FFD865"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tblPr>
    <w:tblStylePr w:type="firstRow">
      <w:rPr>
        <w:b/>
        <w:color w:themeColor="light1"/>
        <w:sz w:val="22"/>
      </w:rPr>
      <w:tblPr/>
      <w:tcPr>
        <w:tcBorders>
          <w:top w:val="single" w:color="8DA9DB" w:themeColor="accent5" w:sz="32" w:space="0"/>
          <w:bottom w:val="single" w:color="FFFFFF" w:themeColor="light1" w:sz="12" w:space="0"/>
        </w:tcBorders>
        <w:shd w:val="clear" w:color="8DA9DB" w:fill="8DA9DB" w:themeFill="accent5" w:themeFillTint="9a"/>
      </w:tcPr>
    </w:tblStylePr>
    <w:tblStylePr w:type="lastRow">
      <w:rPr>
        <w:b/>
        <w:color w:themeColor="light1"/>
        <w:sz w:val="22"/>
      </w:rPr>
      <w:tblPr/>
    </w:tblStylePr>
    <w:tblStylePr w:type="firstCol">
      <w:rPr>
        <w:b/>
        <w:color w:themeColor="light1"/>
        <w:sz w:val="22"/>
      </w:rPr>
      <w:tblPr/>
      <w:tcPr>
        <w:tcBorders>
          <w:left w:val="single" w:color="8DA9DB" w:themeColor="accent5" w:sz="32" w:space="0"/>
          <w:right w:val="single" w:color="FFFFFF" w:themeColor="light1" w:sz="4" w:space="0"/>
        </w:tcBorders>
      </w:tcPr>
    </w:tblStylePr>
    <w:tblStylePr w:type="lastCol">
      <w:tblPr/>
      <w:tcPr>
        <w:tcBorders>
          <w:left w:val="single" w:color="FFFFFF" w:themeColor="light1" w:sz="4" w:space="0"/>
          <w:right w:val="single" w:color="8DA9DB" w:themeColor="accent5" w:sz="32" w:space="0"/>
        </w:tcBorders>
      </w:tcPr>
    </w:tblStylePr>
    <w:tblStylePr w:type="band1Vert">
      <w:tblPr/>
      <w:tcPr>
        <w:tcBorders>
          <w:left w:val="single" w:color="FFFFFF" w:themeColor="light1" w:sz="4" w:space="0"/>
          <w:right w:val="single" w:color="FFFFFF" w:themeColor="light1" w:sz="4" w:space="0"/>
        </w:tcBorders>
        <w:shd w:val="clear" w:color="8DA9DB" w:fill="8DA9DB"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8DA9DB" w:fill="8DA9DB" w:themeFill="accent5" w:themeFillTint="9a"/>
      </w:tcPr>
    </w:tblStylePr>
    <w:tblStylePr w:type="band2Horz">
      <w:tblPr/>
      <w:tcPr>
        <w:tcBorders>
          <w:top w:val="single" w:color="FFFFFF" w:themeColor="light1" w:sz="4" w:space="0"/>
          <w:bottom w:val="single" w:color="FFFFFF" w:themeColor="light1" w:sz="4" w:space="0"/>
        </w:tcBorders>
        <w:shd w:val="clear" w:color="8DA9DB"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b/>
        <w:color w:themeColor="light1"/>
        <w:sz w:val="22"/>
      </w:rPr>
      <w:tblPr/>
      <w:tcPr>
        <w:tcBorders>
          <w:top w:val="single" w:color="A9D08E" w:themeColor="accent6" w:sz="32" w:space="0"/>
          <w:bottom w:val="single" w:color="FFFFFF" w:themeColor="light1" w:sz="12" w:space="0"/>
        </w:tcBorders>
        <w:shd w:val="clear" w:color="A9D08E" w:fill="A9D08E" w:themeFill="accent6" w:themeFillTint="98"/>
      </w:tcPr>
    </w:tblStylePr>
    <w:tblStylePr w:type="lastRow">
      <w:rPr>
        <w:b/>
        <w:color w:themeColor="light1"/>
        <w:sz w:val="22"/>
      </w:rPr>
      <w:tblPr/>
    </w:tblStylePr>
    <w:tblStylePr w:type="firstCol">
      <w:rPr>
        <w:b/>
        <w:color w:themeColor="light1"/>
        <w:sz w:val="22"/>
      </w:rPr>
      <w:tblPr/>
      <w:tcPr>
        <w:tcBorders>
          <w:left w:val="single" w:color="A9D08E" w:themeColor="accent6" w:sz="32" w:space="0"/>
          <w:right w:val="single" w:color="FFFFFF" w:themeColor="light1" w:sz="4" w:space="0"/>
        </w:tcBorders>
      </w:tcPr>
    </w:tblStylePr>
    <w:tblStylePr w:type="lastCol">
      <w:tblPr/>
      <w:tcPr>
        <w:tcBorders>
          <w:left w:val="single" w:color="FFFFFF" w:themeColor="light1" w:sz="4" w:space="0"/>
          <w:right w:val="single" w:color="A9D08E" w:themeColor="accent6" w:sz="32" w:space="0"/>
        </w:tcBorders>
      </w:tcPr>
    </w:tblStylePr>
    <w:tblStylePr w:type="band1Vert">
      <w:tblPr/>
      <w:tcPr>
        <w:tcBorders>
          <w:left w:val="single" w:color="FFFFFF" w:themeColor="light1" w:sz="4" w:space="0"/>
          <w:right w:val="single" w:color="FFFFFF" w:themeColor="light1" w:sz="4" w:space="0"/>
        </w:tcBorders>
        <w:shd w:val="clear" w:color="A9D08E"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9D08E"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color="5B9BD5" w:themeColor="accent1" w:sz="4" w:space="0"/>
        <w:bottom w:val="single" w:color="5B9BD5" w:themeColor="accent1" w:sz="4" w:space="0"/>
      </w:tblBorders>
    </w:tblPr>
    <w:tblStylePr w:type="firstRow">
      <w:rPr>
        <w:b/>
        <w:color w:themeColor="accent1" w:themeShade="95"/>
      </w:rPr>
      <w:tblPr/>
      <w:tcPr>
        <w:tcBorders>
          <w:bottom w:val="single" w:color="5B9BD5" w:themeColor="accent1" w:sz="4" w:space="0"/>
        </w:tcBorders>
      </w:tcPr>
    </w:tblStylePr>
    <w:tblStylePr w:type="lastRow">
      <w:rPr>
        <w:b/>
        <w:color w:themeColor="accent1" w:themeShade="95"/>
      </w:rPr>
      <w:tblPr/>
      <w:tcPr>
        <w:tcBorders>
          <w:top w:val="single" w:color="5B9BD5"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5E5F4" w:fill="D5E5F4" w:themeFill="accent1" w:themeFillTint="40"/>
      </w:tcPr>
    </w:tblStylePr>
    <w:tblStylePr w:type="band1Horz">
      <w:rPr>
        <w:color w:themeColor="accent1" w:themeShade="95"/>
        <w:sz w:val="22"/>
      </w:rPr>
      <w:tblPr/>
      <w:tcPr>
        <w:shd w:val="clear" w:color="D5E5F4" w:fill="D5E5F4"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firstRow">
      <w:rPr>
        <w:b/>
        <w:color w:themeColor="accent2" w:themeTint="97" w:themeShade="95"/>
      </w:rPr>
      <w:tblPr/>
      <w:tcPr>
        <w:tcBorders>
          <w:bottom w:val="single" w:color="F4B184" w:themeColor="accent2" w:sz="4" w:space="0"/>
        </w:tcBorders>
      </w:tcPr>
    </w:tblStylePr>
    <w:tblStylePr w:type="lastRow">
      <w:rPr>
        <w:b/>
        <w:color w:themeColor="accent2" w:themeTint="97" w:themeShade="95"/>
      </w:rPr>
      <w:tblPr/>
      <w:tcPr>
        <w:tcBorders>
          <w:top w:val="single" w:color="F4B184"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ADECB" w:fill="FADECB" w:themeFill="accent2" w:themeFillTint="40"/>
      </w:tcPr>
    </w:tblStylePr>
    <w:tblStylePr w:type="band1Horz">
      <w:rPr>
        <w:color w:themeColor="accent2" w:themeTint="97" w:themeShade="95"/>
        <w:sz w:val="22"/>
      </w:rPr>
      <w:tblPr/>
      <w:tcPr>
        <w:shd w:val="clear" w:color="FADECB" w:fill="FADECB"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firstRow">
      <w:rPr>
        <w:b/>
        <w:color w:themeColor="accent3" w:themeTint="98" w:themeShade="95"/>
      </w:rPr>
      <w:tblPr/>
      <w:tcPr>
        <w:tcBorders>
          <w:bottom w:val="single" w:color="C9C9C9" w:themeColor="accent3" w:sz="4" w:space="0"/>
        </w:tcBorders>
      </w:tcPr>
    </w:tblStylePr>
    <w:tblStylePr w:type="lastRow">
      <w:rPr>
        <w:b/>
        <w:color w:themeColor="accent3" w:themeTint="98" w:themeShade="95"/>
      </w:rPr>
      <w:tblPr/>
      <w:tcPr>
        <w:tcBorders>
          <w:top w:val="single" w:color="C9C9C9"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8E8E8" w:fill="E8E8E8" w:themeFill="accent3" w:themeFillTint="40"/>
      </w:tcPr>
    </w:tblStylePr>
    <w:tblStylePr w:type="band1Horz">
      <w:rPr>
        <w:color w:themeColor="accent3" w:themeTint="98" w:themeShade="95"/>
        <w:sz w:val="22"/>
      </w:rPr>
      <w:tblPr/>
      <w:tcPr>
        <w:shd w:val="clear" w:color="E8E8E8" w:fill="E8E8E8"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firstRow">
      <w:rPr>
        <w:b/>
        <w:color w:themeColor="accent4" w:themeTint="9a" w:themeShade="95"/>
      </w:rPr>
      <w:tblPr/>
      <w:tcPr>
        <w:tcBorders>
          <w:bottom w:val="single" w:color="FFD865" w:themeColor="accent4" w:sz="4" w:space="0"/>
        </w:tcBorders>
      </w:tcPr>
    </w:tblStylePr>
    <w:tblStylePr w:type="lastRow">
      <w:rPr>
        <w:b/>
        <w:color w:themeColor="accent4" w:themeTint="9a" w:themeShade="95"/>
      </w:rPr>
      <w:tblPr/>
      <w:tcPr>
        <w:tcBorders>
          <w:top w:val="single" w:color="FFD865"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FFEFBF" w:fill="FFEFBF" w:themeFill="accent4" w:themeFillTint="40"/>
      </w:tcPr>
    </w:tblStylePr>
    <w:tblStylePr w:type="band1Horz">
      <w:rPr>
        <w:color w:themeColor="accent4" w:themeTint="9a" w:themeShade="95"/>
        <w:sz w:val="22"/>
      </w:rPr>
      <w:tblPr/>
      <w:tcPr>
        <w:shd w:val="clear" w:color="FFEFBF" w:fill="FFEFBF"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color="8DA9DB" w:themeColor="accent5" w:themeTint="9a" w:sz="4" w:space="0"/>
        <w:bottom w:val="single" w:color="8DA9DB" w:themeColor="accent5" w:themeTint="9a" w:sz="4" w:space="0"/>
      </w:tblBorders>
    </w:tblPr>
    <w:tblStylePr w:type="firstRow">
      <w:rPr>
        <w:b/>
        <w:color w:themeColor="accent5" w:themeTint="9a" w:themeShade="95"/>
      </w:rPr>
      <w:tblPr/>
      <w:tcPr>
        <w:tcBorders>
          <w:bottom w:val="single" w:color="8DA9DB" w:themeColor="accent5" w:sz="4" w:space="0"/>
        </w:tcBorders>
      </w:tcPr>
    </w:tblStylePr>
    <w:tblStylePr w:type="lastRow">
      <w:rPr>
        <w:b/>
        <w:color w:themeColor="accent5" w:themeTint="9a" w:themeShade="95"/>
      </w:rPr>
      <w:tblPr/>
      <w:tcPr>
        <w:tcBorders>
          <w:top w:val="single" w:color="8DA9DB"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CFDBF0" w:fill="CFDBF0" w:themeFill="accent5" w:themeFillTint="40"/>
      </w:tcPr>
    </w:tblStylePr>
    <w:tblStylePr w:type="band1Horz">
      <w:rPr>
        <w:color w:themeColor="accent5" w:themeTint="9a" w:themeShade="95"/>
        <w:sz w:val="22"/>
      </w:rPr>
      <w:tblPr/>
      <w:tcPr>
        <w:shd w:val="clear" w:color="CFDBF0" w:fill="CFDB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firstRow">
      <w:rPr>
        <w:b/>
        <w:color w:themeColor="accent6" w:themeTint="98" w:themeShade="95"/>
      </w:rPr>
      <w:tblPr/>
      <w:tcPr>
        <w:tcBorders>
          <w:bottom w:val="single" w:color="A9D08E" w:themeColor="accent6" w:sz="4" w:space="0"/>
        </w:tcBorders>
      </w:tcPr>
    </w:tblStylePr>
    <w:tblStylePr w:type="lastRow">
      <w:rPr>
        <w:b/>
        <w:color w:themeColor="accent6" w:themeTint="98" w:themeShade="95"/>
      </w:rPr>
      <w:tblPr/>
      <w:tcPr>
        <w:tcBorders>
          <w:top w:val="single" w:color="A9D08E"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DAEBCF" w:fill="DAEBCF" w:themeFill="accent6" w:themeFillTint="40"/>
      </w:tcPr>
    </w:tblStylePr>
    <w:tblStylePr w:type="band1Horz">
      <w:rPr>
        <w:color w:themeColor="accent6" w:themeTint="98" w:themeShade="95"/>
        <w:sz w:val="22"/>
      </w:rPr>
      <w:tblPr/>
      <w:tcPr>
        <w:shd w:val="clear" w:color="DAEBCF" w:fill="DAEBCF" w:themeFill="accent6" w:themeFillTint="40"/>
      </w:tcPr>
    </w:tblStylePr>
    <w:tblStylePr w:type="band2Horz">
      <w:rPr>
        <w:color w:themeColor="accent6" w:themeTint="98" w:themeShade="95"/>
        <w:sz w:val="22"/>
      </w:rPr>
      <w:tblPr/>
    </w:tblStylePr>
  </w:style>
  <w:style w:type="table" w:styleId="-70">
    <w:name w:val="List Table 7 Colorful"/>
    <w:basedOn w:val="a1"/>
    <w:uiPriority w:val="99"/>
    <w:pPr>
      <w:spacing w:after="0" w:line="240" w:lineRule="auto"/>
    </w:pPr>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color="5B9BD5" w:themeColor="accent1" w:sz="4" w:space="0"/>
      </w:tblBorders>
    </w:tblPr>
    <w:tblStylePr w:type="firstRow">
      <w:rPr>
        <w:i/>
        <w:color w:themeColor="accent1" w:themeShade="95"/>
        <w:sz w:val="22"/>
      </w:rPr>
      <w:tblPr/>
      <w:tcPr>
        <w:tcBorders>
          <w:top w:val="none" w:color="000000" w:sz="4" w:space="0"/>
          <w:left w:val="none" w:color="000000" w:sz="4" w:space="0"/>
          <w:bottom w:val="single" w:color="5B9BD5"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5B9BD5"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5B9BD5" w:themeColor="accent1" w:sz="4" w:space="0"/>
        </w:tcBorders>
        <w:shd w:val="clear" w:color="FFFFFF" w:fill="auto"/>
      </w:tcPr>
    </w:tblStylePr>
    <w:tblStylePr w:type="lastCol">
      <w:rPr>
        <w:i/>
        <w:color w:themeColor="accent1" w:themeShade="95"/>
        <w:sz w:val="22"/>
      </w:rPr>
      <w:tblPr/>
      <w:tcPr>
        <w:tcBorders>
          <w:top w:val="none" w:color="000000" w:sz="4" w:space="0"/>
          <w:left w:val="single" w:color="5B9BD5" w:themeColor="accent1" w:sz="4" w:space="0"/>
          <w:bottom w:val="none" w:color="000000" w:sz="4" w:space="0"/>
          <w:right w:val="none" w:color="000000" w:sz="4" w:space="0"/>
        </w:tcBorders>
        <w:shd w:val="clear" w:color="FFFFFF" w:fill="auto"/>
      </w:tcPr>
    </w:tblStylePr>
    <w:tblStylePr w:type="band1Vert">
      <w:tblPr/>
      <w:tcPr>
        <w:shd w:val="clear" w:color="D5E5F4" w:fill="D5E5F4" w:themeFill="accent1" w:themeFillTint="40"/>
      </w:tcPr>
    </w:tblStylePr>
    <w:tblStylePr w:type="band1Horz">
      <w:rPr>
        <w:color w:themeColor="accent1" w:themeShade="95"/>
        <w:sz w:val="22"/>
      </w:rPr>
      <w:tblPr/>
      <w:tcPr>
        <w:shd w:val="clear" w:color="D5E5F4" w:fill="D5E5F4"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color="F4B184"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F4B184"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F4B184"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F4B184"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F4B184" w:themeColor="accent2" w:sz="4" w:space="0"/>
          <w:bottom w:val="none" w:color="000000" w:sz="4" w:space="0"/>
          <w:right w:val="none" w:color="000000" w:sz="4" w:space="0"/>
        </w:tcBorders>
        <w:shd w:val="clear" w:color="FFFFFF" w:fill="auto"/>
      </w:tcPr>
    </w:tblStylePr>
    <w:tblStylePr w:type="band1Vert">
      <w:tblPr/>
      <w:tcPr>
        <w:shd w:val="clear" w:color="FADECB" w:fill="FADECB" w:themeFill="accent2" w:themeFillTint="40"/>
      </w:tcPr>
    </w:tblStylePr>
    <w:tblStylePr w:type="band1Horz">
      <w:rPr>
        <w:color w:themeColor="accent2" w:themeTint="97" w:themeShade="95"/>
        <w:sz w:val="22"/>
      </w:rPr>
      <w:tblPr/>
      <w:tcPr>
        <w:shd w:val="clear" w:color="FADECB" w:fill="FADECB"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color="C9C9C9"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C9C9C9"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C9C9C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9C9C9"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C9C9C9" w:themeColor="accent3" w:sz="4" w:space="0"/>
          <w:bottom w:val="none" w:color="000000" w:sz="4" w:space="0"/>
          <w:right w:val="none" w:color="000000" w:sz="4" w:space="0"/>
        </w:tcBorders>
        <w:shd w:val="clear" w:color="FFFFFF" w:fill="auto"/>
      </w:tcPr>
    </w:tblStylePr>
    <w:tblStylePr w:type="band1Vert">
      <w:tblPr/>
      <w:tcPr>
        <w:shd w:val="clear" w:color="E8E8E8" w:fill="E8E8E8" w:themeFill="accent3" w:themeFillTint="40"/>
      </w:tcPr>
    </w:tblStylePr>
    <w:tblStylePr w:type="band1Horz">
      <w:rPr>
        <w:color w:themeColor="accent3" w:themeTint="98" w:themeShade="95"/>
        <w:sz w:val="22"/>
      </w:rPr>
      <w:tblPr/>
      <w:tcPr>
        <w:shd w:val="clear" w:color="E8E8E8" w:fill="E8E8E8"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color="FFD865"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FFD865"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FFD865"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FFD865"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FFD865" w:themeColor="accent4" w:sz="4" w:space="0"/>
          <w:bottom w:val="none" w:color="000000" w:sz="4" w:space="0"/>
          <w:right w:val="none" w:color="000000" w:sz="4" w:space="0"/>
        </w:tcBorders>
        <w:shd w:val="clear" w:color="FFFFFF" w:fill="auto"/>
      </w:tcPr>
    </w:tblStylePr>
    <w:tblStylePr w:type="band1Vert">
      <w:tblPr/>
      <w:tcPr>
        <w:shd w:val="clear" w:color="FFEFBF" w:fill="FFEFBF" w:themeFill="accent4" w:themeFillTint="40"/>
      </w:tcPr>
    </w:tblStylePr>
    <w:tblStylePr w:type="band1Horz">
      <w:rPr>
        <w:color w:themeColor="accent4" w:themeTint="9a" w:themeShade="95"/>
        <w:sz w:val="22"/>
      </w:rPr>
      <w:tblPr/>
      <w:tcPr>
        <w:shd w:val="clear" w:color="FFEFBF" w:fill="FFEFBF"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color="8DA9DB"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8DA9DB"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8DA9DB"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8DA9DB"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8DA9DB" w:themeColor="accent5" w:sz="4" w:space="0"/>
          <w:bottom w:val="none" w:color="000000" w:sz="4" w:space="0"/>
          <w:right w:val="none" w:color="000000" w:sz="4" w:space="0"/>
        </w:tcBorders>
        <w:shd w:val="clear" w:color="FFFFFF" w:fill="auto"/>
      </w:tcPr>
    </w:tblStylePr>
    <w:tblStylePr w:type="band1Vert">
      <w:tblPr/>
      <w:tcPr>
        <w:shd w:val="clear" w:color="CFDBF0" w:fill="CFDBF0" w:themeFill="accent5" w:themeFillTint="40"/>
      </w:tcPr>
    </w:tblStylePr>
    <w:tblStylePr w:type="band1Horz">
      <w:rPr>
        <w:color w:themeColor="accent5" w:themeTint="9a" w:themeShade="95"/>
        <w:sz w:val="22"/>
      </w:rPr>
      <w:tblPr/>
      <w:tcPr>
        <w:shd w:val="clear" w:color="CFDBF0" w:fill="CFDB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color="A9D08E"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A9D08E"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A9D08E"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A9D08E"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A9D08E" w:themeColor="accent6" w:sz="4" w:space="0"/>
          <w:bottom w:val="none" w:color="000000" w:sz="4" w:space="0"/>
          <w:right w:val="none" w:color="000000" w:sz="4" w:space="0"/>
        </w:tcBorders>
        <w:shd w:val="clear" w:color="FFFFFF" w:fill="auto"/>
      </w:tcPr>
    </w:tblStylePr>
    <w:tblStylePr w:type="band1Vert">
      <w:tblPr/>
      <w:tcPr>
        <w:shd w:val="clear" w:color="DAEBCF" w:fill="DAEBCF" w:themeFill="accent6" w:themeFillTint="40"/>
      </w:tcPr>
    </w:tblStylePr>
    <w:tblStylePr w:type="band1Horz">
      <w:rPr>
        <w:color w:themeColor="accent6" w:themeTint="98" w:themeShade="95"/>
        <w:sz w:val="22"/>
      </w:rPr>
      <w:tblPr/>
      <w:tcPr>
        <w:shd w:val="clear" w:color="DAEBCF" w:fill="DAEBCF"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68A2D8" w:fill="68A2D8" w:themeFill="accent1" w:themeFillTint="ea"/>
      </w:tcPr>
    </w:tblStylePr>
    <w:tblStylePr w:type="lastRow">
      <w:rPr>
        <w:sz w:val="22"/>
      </w:rPr>
      <w:tblPr/>
      <w:tcPr>
        <w:shd w:val="clear" w:color="68A2D8" w:fill="68A2D8" w:themeFill="accent1" w:themeFillTint="ea"/>
      </w:tcPr>
    </w:tblStylePr>
    <w:tblStylePr w:type="firstCol">
      <w:rPr>
        <w:sz w:val="22"/>
      </w:rPr>
      <w:tblPr/>
      <w:tcPr>
        <w:shd w:val="clear" w:color="68A2D8" w:fill="68A2D8" w:themeFill="accent1" w:themeFillTint="ea"/>
      </w:tcPr>
    </w:tblStylePr>
    <w:tblStylePr w:type="lastCol">
      <w:rPr>
        <w:sz w:val="22"/>
      </w:rPr>
      <w:tblPr/>
      <w:tcPr>
        <w:shd w:val="clear" w:color="68A2D8" w:fill="68A2D8" w:themeFill="accent1" w:themeFillTint="ea"/>
      </w:tcPr>
    </w:tblStylePr>
    <w:tblStylePr w:type="band1Vert">
      <w:rPr>
        <w:sz w:val="22"/>
      </w:rPr>
      <w:tblPr/>
    </w:tblStylePr>
    <w:tblStylePr w:type="band2Vert">
      <w:rPr>
        <w:sz w:val="22"/>
      </w:rPr>
      <w:tblPr/>
      <w:tcPr>
        <w:shd w:val="clear" w:color="CBDFF1" w:fill="CBDFF1" w:themeFill="accent1" w:themeFillTint="50"/>
      </w:tcPr>
    </w:tblStylePr>
    <w:tblStylePr w:type="band1Horz">
      <w:rPr>
        <w:sz w:val="22"/>
      </w:rPr>
      <w:tblPr/>
    </w:tblStylePr>
    <w:tblStylePr w:type="band2Horz">
      <w:rPr>
        <w:sz w:val="22"/>
      </w:rPr>
      <w:tblPr/>
      <w:tcPr>
        <w:shd w:val="clear" w:color="CBDFF1" w:fill="CBDFF1" w:themeFill="accent1" w:themeFillTint="50"/>
      </w:tcPr>
    </w:tblStylePr>
  </w:style>
  <w:style w:type="table" w:customStyle="1" w:styleId="Lined-Accent2">
    <w:name w:val="Lined - Accent 2"/>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Pr/>
    </w:tblStylePr>
    <w:tblStylePr w:type="band2Vert">
      <w:rPr>
        <w:sz w:val="22"/>
      </w:rPr>
      <w:tblPr/>
      <w:tcPr>
        <w:shd w:val="clear" w:color="FBE5D6" w:fill="FBE5D6" w:themeFill="accent2" w:themeFillTint="32"/>
      </w:tcPr>
    </w:tblStylePr>
    <w:tblStylePr w:type="band1Horz">
      <w:rPr>
        <w:sz w:val="22"/>
      </w:rPr>
      <w:tblPr/>
    </w:tblStylePr>
    <w:tblStylePr w:type="band2Horz">
      <w:rPr>
        <w:sz w:val="22"/>
      </w:rPr>
      <w:tblPr/>
      <w:tcPr>
        <w:shd w:val="clear" w:color="FBE5D6" w:fill="FBE5D6" w:themeFill="accent2" w:themeFillTint="32"/>
      </w:tcPr>
    </w:tblStylePr>
  </w:style>
  <w:style w:type="table" w:customStyle="1" w:styleId="Lined-Accent3">
    <w:name w:val="Lined - Accent 3"/>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Pr/>
    </w:tblStylePr>
    <w:tblStylePr w:type="band2Vert">
      <w:rPr>
        <w:sz w:val="22"/>
      </w:rPr>
      <w:tblPr/>
      <w:tcPr>
        <w:shd w:val="clear" w:color="ECECEC" w:fill="ECECEC" w:themeFill="accent3" w:themeFillTint="34"/>
      </w:tcPr>
    </w:tblStylePr>
    <w:tblStylePr w:type="band1Horz">
      <w:rPr>
        <w:sz w:val="22"/>
      </w:rPr>
      <w:tblPr/>
    </w:tblStylePr>
    <w:tblStylePr w:type="band2Horz">
      <w:rPr>
        <w:sz w:val="22"/>
      </w:rPr>
      <w:tblPr/>
      <w:tcPr>
        <w:shd w:val="clear" w:color="ECECEC" w:fill="ECECEC" w:themeFill="accent3" w:themeFillTint="34"/>
      </w:tcPr>
    </w:tblStylePr>
  </w:style>
  <w:style w:type="table" w:customStyle="1" w:styleId="Lined-Accent4">
    <w:name w:val="Lined - Accent 4"/>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Pr/>
    </w:tblStylePr>
    <w:tblStylePr w:type="band2Vert">
      <w:rPr>
        <w:sz w:val="22"/>
      </w:rPr>
      <w:tblPr/>
      <w:tcPr>
        <w:shd w:val="clear" w:color="FFF2CB" w:fill="FFF2CB" w:themeFill="accent4" w:themeFillTint="34"/>
      </w:tcPr>
    </w:tblStylePr>
    <w:tblStylePr w:type="band1Horz">
      <w:rPr>
        <w:sz w:val="22"/>
      </w:rPr>
      <w:tblPr/>
    </w:tblStylePr>
    <w:tblStylePr w:type="band2Horz">
      <w:rPr>
        <w:sz w:val="22"/>
      </w:rPr>
      <w:tblPr/>
      <w:tcPr>
        <w:shd w:val="clear" w:color="FFF2CB" w:fill="FFF2CB" w:themeFill="accent4" w:themeFillTint="34"/>
      </w:tcPr>
    </w:tblStylePr>
  </w:style>
  <w:style w:type="table" w:customStyle="1" w:styleId="Lined-Accent5">
    <w:name w:val="Lined - Accent 5"/>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4472C4" w:fill="4472C4" w:themeFill="accent5"/>
      </w:tcPr>
    </w:tblStylePr>
    <w:tblStylePr w:type="lastRow">
      <w:rPr>
        <w:sz w:val="22"/>
      </w:rPr>
      <w:tblPr/>
      <w:tcPr>
        <w:shd w:val="clear" w:color="4472C4" w:fill="4472C4" w:themeFill="accent5"/>
      </w:tcPr>
    </w:tblStylePr>
    <w:tblStylePr w:type="firstCol">
      <w:rPr>
        <w:sz w:val="22"/>
      </w:rPr>
      <w:tblPr/>
      <w:tcPr>
        <w:shd w:val="clear" w:color="4472C4" w:fill="4472C4" w:themeFill="accent5"/>
      </w:tcPr>
    </w:tblStylePr>
    <w:tblStylePr w:type="lastCol">
      <w:rPr>
        <w:sz w:val="22"/>
      </w:rPr>
      <w:tblPr/>
      <w:tcPr>
        <w:shd w:val="clear" w:color="4472C4" w:fill="4472C4" w:themeFill="accent5"/>
      </w:tcPr>
    </w:tblStylePr>
    <w:tblStylePr w:type="band1Vert">
      <w:rPr>
        <w:sz w:val="22"/>
      </w:rPr>
      <w:tblPr/>
    </w:tblStylePr>
    <w:tblStylePr w:type="band2Vert">
      <w:rPr>
        <w:sz w:val="22"/>
      </w:rPr>
      <w:tblPr/>
      <w:tcPr>
        <w:shd w:val="clear" w:color="D8E2F3" w:fill="D8E2F3" w:themeFill="accent5" w:themeFillTint="34"/>
      </w:tcPr>
    </w:tblStylePr>
    <w:tblStylePr w:type="band1Horz">
      <w:rPr>
        <w:sz w:val="22"/>
      </w:rPr>
      <w:tblPr/>
    </w:tblStylePr>
    <w:tblStylePr w:type="band2Horz">
      <w:rPr>
        <w:sz w:val="22"/>
      </w:rPr>
      <w:tblPr/>
      <w:tcPr>
        <w:shd w:val="clear" w:color="D8E2F3" w:fill="D8E2F3" w:themeFill="accent5" w:themeFillTint="34"/>
      </w:tcPr>
    </w:tblStylePr>
  </w:style>
  <w:style w:type="table" w:customStyle="1" w:styleId="Lined-Accent6">
    <w:name w:val="Lined - Accent 6"/>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Pr/>
    </w:tblStylePr>
    <w:tblStylePr w:type="band2Vert">
      <w:rPr>
        <w:sz w:val="22"/>
      </w:rPr>
      <w:tblPr/>
      <w:tcPr>
        <w:shd w:val="clear" w:color="E1EFD8" w:fill="E1EFD8" w:themeFill="accent6" w:themeFillTint="34"/>
      </w:tcPr>
    </w:tblStylePr>
    <w:tblStylePr w:type="band1Horz">
      <w:rPr>
        <w:sz w:val="22"/>
      </w:rPr>
      <w:tblPr/>
    </w:tblStylePr>
    <w:tblStylePr w:type="band2Horz">
      <w:rPr>
        <w:sz w:val="22"/>
      </w:rPr>
      <w:tblPr/>
      <w:tcPr>
        <w:shd w:val="clear" w:color="E1EFD8" w:fill="E1EFD8" w:themeFill="accent6" w:themeFillTint="34"/>
      </w:tcPr>
    </w:tblStylePr>
  </w:style>
  <w:style w:type="table" w:customStyle="1" w:styleId="BorderedLined-Accent">
    <w:name w:val="Bordered &amp; Lined - Accent"/>
    <w:basedOn w:val="a1"/>
    <w:uiPriority w:val="99"/>
    <w:pPr>
      <w:spacing w:after="0" w:line="240" w:lineRule="auto"/>
    </w:pPr>
    <w:rPr>
      <w:lang w:eastAsia="ru-RU"/>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pPr>
      <w:spacing w:after="0" w:line="240" w:lineRule="auto"/>
    </w:pPr>
    <w:rPr>
      <w:lang w:eastAsia="ru-RU"/>
      <w:sz w:val="20"/>
      <w:szCs w:val="20"/>
    </w:rPr>
    <w:tblPr>
      <w:tblStyleRowBandSize w:val="1"/>
      <w:tblStyleColBandSize w:val="1"/>
      <w:tblBorders>
        <w:top w:val="single" w:color="245A8D" w:themeColor="accent1" w:sz="4" w:space="0"/>
        <w:left w:val="single" w:color="245A8D" w:themeColor="accent1" w:sz="4" w:space="0"/>
        <w:bottom w:val="single" w:color="245A8D" w:themeColor="accent1" w:sz="4" w:space="0"/>
        <w:right w:val="single" w:color="245A8D" w:themeColor="accent1" w:sz="4" w:space="0"/>
        <w:insideH w:val="single" w:color="245A8D" w:themeColor="accent1" w:sz="4" w:space="0"/>
        <w:insideV w:val="single" w:color="245A8D" w:themeColor="accent1" w:sz="4" w:space="0"/>
      </w:tblBorders>
    </w:tblPr>
    <w:tblStylePr w:type="firstRow">
      <w:rPr>
        <w:sz w:val="22"/>
      </w:rPr>
      <w:tblPr/>
      <w:tcPr>
        <w:shd w:val="clear" w:color="68A2D8" w:fill="68A2D8" w:themeFill="accent1" w:themeFillTint="ea"/>
      </w:tcPr>
    </w:tblStylePr>
    <w:tblStylePr w:type="lastRow">
      <w:rPr>
        <w:sz w:val="22"/>
      </w:rPr>
      <w:tblPr/>
      <w:tcPr>
        <w:shd w:val="clear" w:color="68A2D8" w:fill="68A2D8" w:themeFill="accent1" w:themeFillTint="ea"/>
      </w:tcPr>
    </w:tblStylePr>
    <w:tblStylePr w:type="firstCol">
      <w:rPr>
        <w:sz w:val="22"/>
      </w:rPr>
      <w:tblPr/>
      <w:tcPr>
        <w:shd w:val="clear" w:color="68A2D8" w:fill="68A2D8" w:themeFill="accent1" w:themeFillTint="ea"/>
      </w:tcPr>
    </w:tblStylePr>
    <w:tblStylePr w:type="lastCol">
      <w:rPr>
        <w:sz w:val="22"/>
      </w:rPr>
      <w:tblPr/>
      <w:tcPr>
        <w:shd w:val="clear" w:color="68A2D8" w:fill="68A2D8" w:themeFill="accent1" w:themeFillTint="ea"/>
      </w:tcPr>
    </w:tblStylePr>
    <w:tblStylePr w:type="band1Vert">
      <w:rPr>
        <w:sz w:val="22"/>
      </w:rPr>
      <w:tblPr/>
    </w:tblStylePr>
    <w:tblStylePr w:type="band2Vert">
      <w:rPr>
        <w:sz w:val="22"/>
      </w:rPr>
      <w:tblPr/>
      <w:tcPr>
        <w:shd w:val="clear" w:color="CBDFF1" w:fill="CBDFF1" w:themeFill="accent1" w:themeFillTint="50"/>
      </w:tcPr>
    </w:tblStylePr>
    <w:tblStylePr w:type="band1Horz">
      <w:rPr>
        <w:sz w:val="22"/>
      </w:rPr>
      <w:tblPr/>
    </w:tblStylePr>
    <w:tblStylePr w:type="band2Horz">
      <w:rPr>
        <w:sz w:val="22"/>
      </w:rPr>
      <w:tblPr/>
      <w:tcPr>
        <w:shd w:val="clear" w:color="CBDFF1" w:fill="CBDFF1" w:themeFill="accent1" w:themeFillTint="50"/>
      </w:tcPr>
    </w:tblStylePr>
  </w:style>
  <w:style w:type="table" w:customStyle="1" w:styleId="BorderedLined-Accent2">
    <w:name w:val="Bordered &amp; Lined - Accent 2"/>
    <w:basedOn w:val="a1"/>
    <w:uiPriority w:val="99"/>
    <w:pPr>
      <w:spacing w:after="0" w:line="240" w:lineRule="auto"/>
    </w:pPr>
    <w:rPr>
      <w:lang w:eastAsia="ru-RU"/>
      <w:sz w:val="20"/>
      <w:szCs w:val="20"/>
    </w:rPr>
    <w:tblPr>
      <w:tblStyleRowBandSize w:val="1"/>
      <w:tblStyleColBandSize w:val="1"/>
      <w:tblBorders>
        <w:top w:val="single" w:color="99460D" w:themeColor="accent2" w:sz="4" w:space="0"/>
        <w:left w:val="single" w:color="99460D" w:themeColor="accent2" w:sz="4" w:space="0"/>
        <w:bottom w:val="single" w:color="99460D" w:themeColor="accent2" w:sz="4" w:space="0"/>
        <w:right w:val="single" w:color="99460D" w:themeColor="accent2" w:sz="4" w:space="0"/>
        <w:insideH w:val="single" w:color="99460D" w:themeColor="accent2" w:sz="4" w:space="0"/>
        <w:insideV w:val="single" w:color="99460D" w:themeColor="accent2" w:sz="4" w:space="0"/>
      </w:tblBorders>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Pr/>
    </w:tblStylePr>
    <w:tblStylePr w:type="band2Vert">
      <w:rPr>
        <w:sz w:val="22"/>
      </w:rPr>
      <w:tblPr/>
      <w:tcPr>
        <w:shd w:val="clear" w:color="FBE5D6" w:fill="FBE5D6" w:themeFill="accent2" w:themeFillTint="32"/>
      </w:tcPr>
    </w:tblStylePr>
    <w:tblStylePr w:type="band1Horz">
      <w:rPr>
        <w:sz w:val="22"/>
      </w:rPr>
      <w:tblPr/>
    </w:tblStylePr>
    <w:tblStylePr w:type="band2Horz">
      <w:rPr>
        <w:sz w:val="22"/>
      </w:rPr>
      <w:tblPr/>
      <w:tcPr>
        <w:shd w:val="clear" w:color="FBE5D6" w:fill="FBE5D6" w:themeFill="accent2" w:themeFillTint="32"/>
      </w:tcPr>
    </w:tblStylePr>
  </w:style>
  <w:style w:type="table" w:customStyle="1" w:styleId="BorderedLined-Accent3">
    <w:name w:val="Bordered &amp; Lined - Accent 3"/>
    <w:basedOn w:val="a1"/>
    <w:uiPriority w:val="99"/>
    <w:pPr>
      <w:spacing w:after="0" w:line="240" w:lineRule="auto"/>
    </w:pPr>
    <w:rPr>
      <w:lang w:eastAsia="ru-RU"/>
      <w:sz w:val="20"/>
      <w:szCs w:val="20"/>
    </w:rPr>
    <w:tblPr>
      <w:tblStyleRowBandSize w:val="1"/>
      <w:tblStyleColBandSize w:val="1"/>
      <w:tblBorders>
        <w:top w:val="single" w:color="606060" w:themeColor="accent3" w:sz="4" w:space="0"/>
        <w:left w:val="single" w:color="606060" w:themeColor="accent3" w:sz="4" w:space="0"/>
        <w:bottom w:val="single" w:color="606060" w:themeColor="accent3" w:sz="4" w:space="0"/>
        <w:right w:val="single" w:color="606060" w:themeColor="accent3" w:sz="4" w:space="0"/>
        <w:insideH w:val="single" w:color="606060" w:themeColor="accent3" w:sz="4" w:space="0"/>
        <w:insideV w:val="single" w:color="606060" w:themeColor="accent3" w:sz="4" w:space="0"/>
      </w:tblBorders>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Pr/>
    </w:tblStylePr>
    <w:tblStylePr w:type="band2Vert">
      <w:rPr>
        <w:sz w:val="22"/>
      </w:rPr>
      <w:tblPr/>
      <w:tcPr>
        <w:shd w:val="clear" w:color="ECECEC" w:fill="ECECEC" w:themeFill="accent3" w:themeFillTint="34"/>
      </w:tcPr>
    </w:tblStylePr>
    <w:tblStylePr w:type="band1Horz">
      <w:rPr>
        <w:sz w:val="22"/>
      </w:rPr>
      <w:tblPr/>
    </w:tblStylePr>
    <w:tblStylePr w:type="band2Horz">
      <w:rPr>
        <w:sz w:val="22"/>
      </w:rPr>
      <w:tblPr/>
      <w:tcPr>
        <w:shd w:val="clear" w:color="ECECEC" w:fill="ECECEC" w:themeFill="accent3" w:themeFillTint="34"/>
      </w:tcPr>
    </w:tblStylePr>
  </w:style>
  <w:style w:type="table" w:customStyle="1" w:styleId="BorderedLined-Accent4">
    <w:name w:val="Bordered &amp; Lined - Accent 4"/>
    <w:basedOn w:val="a1"/>
    <w:uiPriority w:val="99"/>
    <w:pPr>
      <w:spacing w:after="0" w:line="240" w:lineRule="auto"/>
    </w:pPr>
    <w:rPr>
      <w:lang w:eastAsia="ru-RU"/>
      <w:sz w:val="20"/>
      <w:szCs w:val="20"/>
    </w:rPr>
    <w:tblPr>
      <w:tblStyleRowBandSize w:val="1"/>
      <w:tblStyleColBandSize w:val="1"/>
      <w:tblBorders>
        <w:top w:val="single" w:color="957000" w:themeColor="accent4" w:sz="4" w:space="0"/>
        <w:left w:val="single" w:color="957000" w:themeColor="accent4" w:sz="4" w:space="0"/>
        <w:bottom w:val="single" w:color="957000" w:themeColor="accent4" w:sz="4" w:space="0"/>
        <w:right w:val="single" w:color="957000" w:themeColor="accent4" w:sz="4" w:space="0"/>
        <w:insideH w:val="single" w:color="957000" w:themeColor="accent4" w:sz="4" w:space="0"/>
        <w:insideV w:val="single" w:color="957000" w:themeColor="accent4" w:sz="4" w:space="0"/>
      </w:tblBorders>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Pr/>
    </w:tblStylePr>
    <w:tblStylePr w:type="band2Vert">
      <w:rPr>
        <w:sz w:val="22"/>
      </w:rPr>
      <w:tblPr/>
      <w:tcPr>
        <w:shd w:val="clear" w:color="FFF2CB" w:fill="FFF2CB" w:themeFill="accent4" w:themeFillTint="34"/>
      </w:tcPr>
    </w:tblStylePr>
    <w:tblStylePr w:type="band1Horz">
      <w:rPr>
        <w:sz w:val="22"/>
      </w:rPr>
      <w:tblPr/>
    </w:tblStylePr>
    <w:tblStylePr w:type="band2Horz">
      <w:rPr>
        <w:sz w:val="22"/>
      </w:rPr>
      <w:tblPr/>
      <w:tcPr>
        <w:shd w:val="clear" w:color="FFF2CB" w:fill="FFF2CB" w:themeFill="accent4" w:themeFillTint="34"/>
      </w:tcPr>
    </w:tblStylePr>
  </w:style>
  <w:style w:type="table" w:customStyle="1" w:styleId="BorderedLined-Accent5">
    <w:name w:val="Bordered &amp; Lined - Accent 5"/>
    <w:basedOn w:val="a1"/>
    <w:uiPriority w:val="99"/>
    <w:pPr>
      <w:spacing w:after="0" w:line="240" w:lineRule="auto"/>
    </w:pPr>
    <w:rPr>
      <w:lang w:eastAsia="ru-RU"/>
      <w:sz w:val="20"/>
      <w:szCs w:val="20"/>
    </w:rPr>
    <w:tblPr>
      <w:tblStyleRowBandSize w:val="1"/>
      <w:tblStyleColBandSize w:val="1"/>
      <w:tblBorders>
        <w:top w:val="single" w:color="254175" w:themeColor="accent5" w:sz="4" w:space="0"/>
        <w:left w:val="single" w:color="254175" w:themeColor="accent5" w:sz="4" w:space="0"/>
        <w:bottom w:val="single" w:color="254175" w:themeColor="accent5" w:sz="4" w:space="0"/>
        <w:right w:val="single" w:color="254175" w:themeColor="accent5" w:sz="4" w:space="0"/>
        <w:insideH w:val="single" w:color="254175" w:themeColor="accent5" w:sz="4" w:space="0"/>
        <w:insideV w:val="single" w:color="254175" w:themeColor="accent5" w:sz="4" w:space="0"/>
      </w:tblBorders>
    </w:tblPr>
    <w:tblStylePr w:type="firstRow">
      <w:rPr>
        <w:sz w:val="22"/>
      </w:rPr>
      <w:tblPr/>
      <w:tcPr>
        <w:shd w:val="clear" w:color="4472C4" w:fill="4472C4" w:themeFill="accent5"/>
      </w:tcPr>
    </w:tblStylePr>
    <w:tblStylePr w:type="lastRow">
      <w:rPr>
        <w:sz w:val="22"/>
      </w:rPr>
      <w:tblPr/>
      <w:tcPr>
        <w:shd w:val="clear" w:color="4472C4" w:fill="4472C4" w:themeFill="accent5"/>
      </w:tcPr>
    </w:tblStylePr>
    <w:tblStylePr w:type="firstCol">
      <w:rPr>
        <w:sz w:val="22"/>
      </w:rPr>
      <w:tblPr/>
      <w:tcPr>
        <w:shd w:val="clear" w:color="4472C4" w:fill="4472C4" w:themeFill="accent5"/>
      </w:tcPr>
    </w:tblStylePr>
    <w:tblStylePr w:type="lastCol">
      <w:rPr>
        <w:sz w:val="22"/>
      </w:rPr>
      <w:tblPr/>
      <w:tcPr>
        <w:shd w:val="clear" w:color="4472C4" w:fill="4472C4" w:themeFill="accent5"/>
      </w:tcPr>
    </w:tblStylePr>
    <w:tblStylePr w:type="band1Vert">
      <w:rPr>
        <w:sz w:val="22"/>
      </w:rPr>
      <w:tblPr/>
    </w:tblStylePr>
    <w:tblStylePr w:type="band2Vert">
      <w:rPr>
        <w:sz w:val="22"/>
      </w:rPr>
      <w:tblPr/>
      <w:tcPr>
        <w:shd w:val="clear" w:color="D8E2F3" w:fill="D8E2F3" w:themeFill="accent5" w:themeFillTint="34"/>
      </w:tcPr>
    </w:tblStylePr>
    <w:tblStylePr w:type="band1Horz">
      <w:rPr>
        <w:sz w:val="22"/>
      </w:rPr>
      <w:tblPr/>
    </w:tblStylePr>
    <w:tblStylePr w:type="band2Horz">
      <w:rPr>
        <w:sz w:val="22"/>
      </w:rPr>
      <w:tblPr/>
      <w:tcPr>
        <w:shd w:val="clear" w:color="D8E2F3" w:fill="D8E2F3" w:themeFill="accent5" w:themeFillTint="34"/>
      </w:tcPr>
    </w:tblStylePr>
  </w:style>
  <w:style w:type="table" w:customStyle="1" w:styleId="BorderedLined-Accent6">
    <w:name w:val="Bordered &amp; Lined - Accent 6"/>
    <w:basedOn w:val="a1"/>
    <w:uiPriority w:val="99"/>
    <w:pPr>
      <w:spacing w:after="0" w:line="240" w:lineRule="auto"/>
    </w:pPr>
    <w:rPr>
      <w:lang w:eastAsia="ru-RU"/>
      <w:sz w:val="20"/>
      <w:szCs w:val="20"/>
    </w:rPr>
    <w:tblPr>
      <w:tblStyleRowBandSize w:val="1"/>
      <w:tblStyleColBandSize w:val="1"/>
      <w:tblBorders>
        <w:top w:val="single" w:color="416429" w:themeColor="accent6" w:sz="4" w:space="0"/>
        <w:left w:val="single" w:color="416429" w:themeColor="accent6" w:sz="4" w:space="0"/>
        <w:bottom w:val="single" w:color="416429" w:themeColor="accent6" w:sz="4" w:space="0"/>
        <w:right w:val="single" w:color="416429" w:themeColor="accent6" w:sz="4" w:space="0"/>
        <w:insideH w:val="single" w:color="416429" w:themeColor="accent6" w:sz="4" w:space="0"/>
        <w:insideV w:val="single" w:color="416429" w:themeColor="accent6" w:sz="4" w:space="0"/>
      </w:tblBorders>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Pr/>
    </w:tblStylePr>
    <w:tblStylePr w:type="band2Vert">
      <w:rPr>
        <w:sz w:val="22"/>
      </w:rPr>
      <w:tblPr/>
      <w:tcPr>
        <w:shd w:val="clear" w:color="E1EFD8" w:fill="E1EFD8" w:themeFill="accent6" w:themeFillTint="34"/>
      </w:tcPr>
    </w:tblStylePr>
    <w:tblStylePr w:type="band1Horz">
      <w:rPr>
        <w:sz w:val="22"/>
      </w:rPr>
      <w:tblPr/>
    </w:tblStylePr>
    <w:tblStylePr w:type="band2Horz">
      <w:rPr>
        <w:sz w:val="22"/>
      </w:rPr>
      <w:tblPr/>
      <w:tcPr>
        <w:shd w:val="clear" w:color="E1EFD8"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sz w:val="22"/>
      </w:rPr>
      <w:tblPr/>
      <w:tcPr>
        <w:tcBorders>
          <w:bottom w:val="single" w:color="5B9BD5" w:themeColor="accent1" w:sz="12" w:space="0"/>
        </w:tcBorders>
      </w:tcPr>
    </w:tblStylePr>
    <w:tblStylePr w:type="lastRow">
      <w:rPr>
        <w:sz w:val="22"/>
      </w:rPr>
      <w:tblPr/>
      <w:tcPr>
        <w:tcBorders>
          <w:top w:val="single" w:color="5B9BD5" w:themeColor="accent1" w:sz="12" w:space="0"/>
        </w:tcBorders>
      </w:tcPr>
    </w:tblStylePr>
    <w:tblStylePr w:type="firstCol">
      <w:rPr>
        <w:sz w:val="22"/>
      </w:rPr>
      <w:tblPr/>
    </w:tblStylePr>
    <w:tblStylePr w:type="lastCol">
      <w:rPr>
        <w:sz w:val="22"/>
      </w:rPr>
      <w:tblPr/>
      <w:tcPr>
        <w:tcBorders>
          <w:left w:val="single" w:color="5B9BD5" w:themeColor="accent1" w:sz="12" w:space="0"/>
        </w:tcBorders>
      </w:tcPr>
    </w:tblStylePr>
    <w:tblStylePr w:type="band1Horz">
      <w:rPr>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sz w:val="22"/>
      </w:rPr>
      <w:tblPr/>
      <w:tcPr>
        <w:tcBorders>
          <w:bottom w:val="single" w:color="F4B184" w:themeColor="accent2" w:sz="12" w:space="0"/>
        </w:tcBorders>
      </w:tcPr>
    </w:tblStylePr>
    <w:tblStylePr w:type="lastRow">
      <w:rPr>
        <w:sz w:val="22"/>
      </w:rPr>
      <w:tblPr/>
      <w:tcPr>
        <w:tcBorders>
          <w:top w:val="single" w:color="F4B184" w:themeColor="accent2" w:sz="12" w:space="0"/>
        </w:tcBorders>
      </w:tcPr>
    </w:tblStylePr>
    <w:tblStylePr w:type="firstCol">
      <w:rPr>
        <w:sz w:val="22"/>
      </w:rPr>
      <w:tblPr/>
    </w:tblStylePr>
    <w:tblStylePr w:type="lastCol">
      <w:rPr>
        <w:sz w:val="22"/>
      </w:rPr>
      <w:tblPr/>
      <w:tcPr>
        <w:tcBorders>
          <w:left w:val="single" w:color="F4B184" w:themeColor="accent2" w:sz="12" w:space="0"/>
        </w:tcBorders>
      </w:tcPr>
    </w:tblStylePr>
    <w:tblStylePr w:type="band1Horz">
      <w:rPr>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sz w:val="22"/>
      </w:rPr>
      <w:tblPr/>
      <w:tcPr>
        <w:tcBorders>
          <w:bottom w:val="single" w:color="C9C9C9" w:themeColor="accent3" w:sz="12" w:space="0"/>
        </w:tcBorders>
      </w:tcPr>
    </w:tblStylePr>
    <w:tblStylePr w:type="lastRow">
      <w:rPr>
        <w:sz w:val="22"/>
      </w:rPr>
      <w:tblPr/>
      <w:tcPr>
        <w:tcBorders>
          <w:top w:val="single" w:color="C9C9C9" w:themeColor="accent3" w:sz="12" w:space="0"/>
        </w:tcBorders>
      </w:tcPr>
    </w:tblStylePr>
    <w:tblStylePr w:type="firstCol">
      <w:rPr>
        <w:sz w:val="22"/>
      </w:rPr>
      <w:tblPr/>
    </w:tblStylePr>
    <w:tblStylePr w:type="lastCol">
      <w:rPr>
        <w:sz w:val="22"/>
      </w:rPr>
      <w:tblPr/>
      <w:tcPr>
        <w:tcBorders>
          <w:left w:val="single" w:color="C9C9C9" w:themeColor="accent3" w:sz="12" w:space="0"/>
        </w:tcBorders>
      </w:tcPr>
    </w:tblStylePr>
    <w:tblStylePr w:type="band1Horz">
      <w:rPr>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sz w:val="22"/>
      </w:rPr>
      <w:tblPr/>
      <w:tcPr>
        <w:tcBorders>
          <w:bottom w:val="single" w:color="FFD865" w:themeColor="accent4" w:sz="12" w:space="0"/>
        </w:tcBorders>
      </w:tcPr>
    </w:tblStylePr>
    <w:tblStylePr w:type="lastRow">
      <w:rPr>
        <w:sz w:val="22"/>
      </w:rPr>
      <w:tblPr/>
      <w:tcPr>
        <w:tcBorders>
          <w:top w:val="single" w:color="FFD865" w:themeColor="accent4" w:sz="12" w:space="0"/>
        </w:tcBorders>
      </w:tcPr>
    </w:tblStylePr>
    <w:tblStylePr w:type="firstCol">
      <w:rPr>
        <w:sz w:val="22"/>
      </w:rPr>
      <w:tblPr/>
    </w:tblStylePr>
    <w:tblStylePr w:type="lastCol">
      <w:rPr>
        <w:sz w:val="22"/>
      </w:rPr>
      <w:tblPr/>
      <w:tcPr>
        <w:tcBorders>
          <w:left w:val="single" w:color="FFD865" w:themeColor="accent4" w:sz="12" w:space="0"/>
        </w:tcBorders>
      </w:tcPr>
    </w:tblStylePr>
    <w:tblStylePr w:type="band1Horz">
      <w:rPr>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sz w:val="22"/>
      </w:rPr>
      <w:tblPr/>
      <w:tcPr>
        <w:tcBorders>
          <w:bottom w:val="single" w:color="8DA9DB" w:themeColor="accent5" w:sz="12" w:space="0"/>
        </w:tcBorders>
      </w:tcPr>
    </w:tblStylePr>
    <w:tblStylePr w:type="lastRow">
      <w:rPr>
        <w:sz w:val="22"/>
      </w:rPr>
      <w:tblPr/>
      <w:tcPr>
        <w:tcBorders>
          <w:top w:val="single" w:color="8DA9DB" w:themeColor="accent5" w:sz="12" w:space="0"/>
        </w:tcBorders>
      </w:tcPr>
    </w:tblStylePr>
    <w:tblStylePr w:type="firstCol">
      <w:rPr>
        <w:sz w:val="22"/>
      </w:rPr>
      <w:tblPr/>
    </w:tblStylePr>
    <w:tblStylePr w:type="lastCol">
      <w:rPr>
        <w:sz w:val="22"/>
      </w:rPr>
      <w:tblPr/>
      <w:tcPr>
        <w:tcBorders>
          <w:left w:val="single" w:color="8DA9DB" w:themeColor="accent5" w:sz="12" w:space="0"/>
        </w:tcBorders>
      </w:tcPr>
    </w:tblStylePr>
    <w:tblStylePr w:type="band1Horz">
      <w:rPr>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sz w:val="22"/>
      </w:rPr>
      <w:tblPr/>
      <w:tcPr>
        <w:tcBorders>
          <w:bottom w:val="single" w:color="A9D08E" w:themeColor="accent6" w:sz="12" w:space="0"/>
        </w:tcBorders>
      </w:tcPr>
    </w:tblStylePr>
    <w:tblStylePr w:type="lastRow">
      <w:rPr>
        <w:sz w:val="22"/>
      </w:rPr>
      <w:tblPr/>
      <w:tcPr>
        <w:tcBorders>
          <w:top w:val="single" w:color="A9D08E" w:themeColor="accent6" w:sz="12" w:space="0"/>
        </w:tcBorders>
      </w:tcPr>
    </w:tblStylePr>
    <w:tblStylePr w:type="firstCol">
      <w:rPr>
        <w:sz w:val="22"/>
      </w:rPr>
      <w:tblPr/>
    </w:tblStylePr>
    <w:tblStylePr w:type="lastCol">
      <w:rPr>
        <w:sz w:val="22"/>
      </w:rPr>
      <w:tblPr/>
      <w:tcPr>
        <w:tcBorders>
          <w:left w:val="single" w:color="A9D08E" w:themeColor="accent6" w:sz="12" w:space="0"/>
        </w:tcBorders>
      </w:tcPr>
    </w:tblStylePr>
    <w:tblStylePr w:type="band1Horz">
      <w:rPr>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LAW&amp;n=489041&amp;dst=100132" TargetMode="External"/><Relationship Id="rId3" Type="http://schemas.openxmlformats.org/officeDocument/2006/relationships/hyperlink" Target="https://login.consultant.ru/link/?req=doc&amp;base=LAW&amp;n=489041&amp;dst=100132" TargetMode="External"/><Relationship Id="rId4" Type="http://schemas.openxmlformats.org/officeDocument/2006/relationships/hyperlink" Target="https://login.consultant.ru/link/?req=doc&amp;base=LAW&amp;n=489041&amp;dst=100160" TargetMode="External"/><Relationship Id="rId5" Type="http://schemas.openxmlformats.org/officeDocument/2006/relationships/hyperlink" Target="https://login.consultant.ru/link/?req=doc&amp;base=SPB&amp;n=292885&amp;dst=100020"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New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6350" cap="flat" cmpd="sng" algn="ctr"/>
        <a:ln w="12700" cap="flat" cmpd="sng" algn="ctr"/>
        <a:ln w="19050" cap="flat" cmpd="sng" algn="ctr"/>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7E18B-DD40-4900-805F-D8EAFFACD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Application>LibreOffice/7.6.0.3$Linux_X86_64 LibreOffice_project/60$Build-3</Application>
  <AppVersion>15.0000</AppVersion>
  <Pages>45</Pages>
  <Words>12026</Words>
  <Characters>79529</Characters>
  <CharactersWithSpaces>91100</CharactersWithSpaces>
  <Paragraphs>995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2026-09-21T08:37:00Z</dcterms:created>
  <dc:creator>Чеботарева Наталья Вячеславовна</dc:creator>
  <dc:description/>
  <dc:language>ru-RU</dc:language>
  <cp:lastModifiedBy>Чеботарева Наталья Вячеславовна</cp:lastModifiedBy>
  <cp:lastPrinted>2026-09-18T11:00:00Z</cp:lastPrinted>
  <dcterms:modified xsi:type="dcterms:W3CDTF">2026-09-21T10:30:00Z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