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Приложение 5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государственной программе...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ПРЕДОСТАВЛЕНИЯ И РАСПРЕДЕЛЕНИЯ СУБСИДИИ </w:t>
      </w:r>
      <w:proofErr w:type="gramStart"/>
      <w:r>
        <w:rPr>
          <w:rFonts w:ascii="Calibri" w:hAnsi="Calibri" w:cs="Calibri"/>
          <w:b/>
          <w:bCs/>
        </w:rPr>
        <w:t>ИЗ</w:t>
      </w:r>
      <w:proofErr w:type="gramEnd"/>
      <w:r>
        <w:rPr>
          <w:rFonts w:ascii="Calibri" w:hAnsi="Calibri" w:cs="Calibri"/>
          <w:b/>
          <w:bCs/>
        </w:rPr>
        <w:t xml:space="preserve"> ОБЛАСТНОГО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БЮДЖЕТА ЛЕНИНГРАДСКОЙ ОБЛАСТИ БЮДЖЕТАМ </w:t>
      </w:r>
      <w:proofErr w:type="gramStart"/>
      <w:r>
        <w:rPr>
          <w:rFonts w:ascii="Calibri" w:hAnsi="Calibri" w:cs="Calibri"/>
          <w:b/>
          <w:bCs/>
        </w:rPr>
        <w:t>МУНИЦИПАЛЬНЫХ</w:t>
      </w:r>
      <w:proofErr w:type="gramEnd"/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ОБРАЗОВАНИЙ ЛЕНИНГРАДСКОЙ ОБЛАСТИ НА РЕАЛИЗАЦИЮ МЕРОПРИЯТИЙ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 ЦИФРОВИЗАЦИИ ГОРОДСКОГО ХОЗЯЙСТВА </w:t>
      </w:r>
      <w:proofErr w:type="gramStart"/>
      <w:r>
        <w:rPr>
          <w:rFonts w:ascii="Calibri" w:hAnsi="Calibri" w:cs="Calibri"/>
          <w:b/>
          <w:bCs/>
        </w:rPr>
        <w:t>МУНИЦИПАЛЬНЫХ</w:t>
      </w:r>
      <w:proofErr w:type="gramEnd"/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ОБРАЗОВАНИЙ ЛЕНИНГРАДСКОЙ ОБЛАСТИ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Общие положения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Настоящий Порядок устанавливает цели,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(далее - муниципальные образования), направленной на реализацию мероприятий по цифровизации городского хозяйства муниципальных образований (далее - субсидии).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настоящем Порядке под </w:t>
      </w:r>
      <w:proofErr w:type="spellStart"/>
      <w:r>
        <w:rPr>
          <w:rFonts w:ascii="Calibri" w:hAnsi="Calibri" w:cs="Calibri"/>
        </w:rPr>
        <w:t>цифровизацией</w:t>
      </w:r>
      <w:proofErr w:type="spellEnd"/>
      <w:r>
        <w:rPr>
          <w:rFonts w:ascii="Calibri" w:hAnsi="Calibri" w:cs="Calibri"/>
        </w:rPr>
        <w:t xml:space="preserve"> городского хозяйства понимается процесс внедрения систем информатизации в хозяйственную деятельность муниципальных образований и использования информационных технологий для повышения качества управления муниципальными ресурсами, увеличения эффективности деятельности государственных и муниципальных служб в муниципальных образованиях, повышения конкурентоспособности муниципальных образований при ориентации инновационного развития на человека.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proofErr w:type="gramStart"/>
      <w:r>
        <w:rPr>
          <w:rFonts w:ascii="Calibri" w:hAnsi="Calibri" w:cs="Calibri"/>
        </w:rPr>
        <w:t xml:space="preserve">Субсидии предоставляются для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расходных обязательств бюджетов муниципальных образований, возникающих при выполнении полномочий органов местного самоуправления по решению вопросов местного значения 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19 части 1 статьи 14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пунктом 25 части 1 статьи 16</w:t>
        </w:r>
      </w:hyperlink>
      <w:r>
        <w:rPr>
          <w:rFonts w:ascii="Calibri" w:hAnsi="Calibri"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Полномочия в части благоустройства территорий муниципальных образований и осуществление контроля в сфере благоустройства </w:t>
      </w:r>
      <w:proofErr w:type="gramStart"/>
      <w:r>
        <w:rPr>
          <w:rFonts w:ascii="Calibri" w:hAnsi="Calibri" w:cs="Calibri"/>
        </w:rPr>
        <w:t>осуществляются</w:t>
      </w:r>
      <w:proofErr w:type="gramEnd"/>
      <w:r>
        <w:rPr>
          <w:rFonts w:ascii="Calibri" w:hAnsi="Calibri" w:cs="Calibri"/>
        </w:rPr>
        <w:t xml:space="preserve"> в том числе путем реализации мероприятий по цифровизации городского хозяйства муниципальных образований, включающих внедрение цифровых технологий и платформенных решений.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Субсидии предоставляются в пределах бюджетных ассигнований, утвержденных в сводной бюджетной росписи областного бюджета Ленинградской области (далее - областной бюджет) на соответствующий финансовый год и на плановый период, и лимитов бюджетных обязательств, доведенных в установленном порядке главному распорядителю бюджетных средств - комитету по жилищно-коммунальному хозяйству Ленинградской области (далее - Комитет).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Цели и условия предоставления субсидии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Субсидии предоставляются муниципальным образованиям в целях реализации мероприятий по цифровизации городского хозяйства муниципальных образований, в том числе по осуществлению муниципального контроля в сфере благоустройства территорий муниципальных образований, посредством реализации указанных мероприятий.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Результатом использования субсидии является количество реализованных мероприятий по цифровизации городского хозяйства муниципальных образований, которые способствуют повышению качества управления городскими ресурсами, формированию эффективной системы управления городским хозяйством.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Субсидии предоставляются при соблюдении следующих условий: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наличие правовых актов муниципального образования, утверждающих перечень мероприятий по цифровизации городского хозяйства муниципальных образований,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которых предоставляются субсидии;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соглашения о предоставлении субсидии 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пунктами 4.1</w:t>
        </w:r>
      </w:hyperlink>
      <w:r>
        <w:rPr>
          <w:rFonts w:ascii="Calibri" w:hAnsi="Calibri" w:cs="Calibri"/>
        </w:rPr>
        <w:t xml:space="preserve"> - </w:t>
      </w:r>
      <w:hyperlink r:id="rId8" w:history="1">
        <w:r>
          <w:rPr>
            <w:rFonts w:ascii="Calibri" w:hAnsi="Calibri" w:cs="Calibri"/>
            <w:color w:val="0000FF"/>
          </w:rPr>
          <w:t>4.4</w:t>
        </w:r>
      </w:hyperlink>
      <w:r>
        <w:rPr>
          <w:rFonts w:ascii="Calibri" w:hAnsi="Calibri" w:cs="Calibri"/>
        </w:rPr>
        <w:t xml:space="preserve"> Правил предоставления субсидии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Порядок отбора муниципальных образований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предоставления субсидии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 xml:space="preserve">3.1. Порядок отбора муниципальных образований для предоставления субсидии осуществляется в соответствии с </w:t>
      </w:r>
      <w:hyperlink r:id="rId9" w:history="1">
        <w:r>
          <w:rPr>
            <w:rFonts w:ascii="Calibri" w:hAnsi="Calibri" w:cs="Calibri"/>
            <w:color w:val="0000FF"/>
          </w:rPr>
          <w:t>подпунктом "а" пункта 2.8</w:t>
        </w:r>
      </w:hyperlink>
      <w:r>
        <w:rPr>
          <w:rFonts w:ascii="Calibri" w:hAnsi="Calibri" w:cs="Calibri"/>
        </w:rPr>
        <w:t xml:space="preserve"> Правил на основе установленного </w:t>
      </w:r>
      <w:hyperlink w:anchor="Par32" w:history="1">
        <w:r>
          <w:rPr>
            <w:rFonts w:ascii="Calibri" w:hAnsi="Calibri" w:cs="Calibri"/>
            <w:color w:val="0000FF"/>
          </w:rPr>
          <w:t>пунктом 3.2</w:t>
        </w:r>
      </w:hyperlink>
      <w:r>
        <w:rPr>
          <w:rFonts w:ascii="Calibri" w:hAnsi="Calibri" w:cs="Calibri"/>
        </w:rPr>
        <w:t xml:space="preserve"> настоящего Порядка перечня критериев, которым должны соответствовать муниципальные образования.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3.2. Критериями, которым должны соответствовать муниципальные образования для допуска к оценке заявок (участию в отборе) муниципальных образований, являются: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утвержденной органом местного самоуправления муниципального образования муниципальной программы, утверждающей перечень мероприятий по цифровизации городского хозяйства муниципального образования, включающих внедрение цифровых технологий и платформенных решений (далее - муниципальная программа);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в составе муниципального образования населенных пунктов с численностью населения свыше 1000 человек.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>3.3. В целях участия в отборе муниципальные образования представляют следующие документы: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выписку из утвержденной органом местного самоуправления муниципального образования муниципальной программы или заверенную органом местного самоуправления муниципального образования копию муниципальной программы;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описание каждого мероприятия по цифровизации городского хозяйства муниципального образования, включающего внедрение цифровых технологий и платформенных решений (текстовое</w:t>
      </w:r>
      <w:proofErr w:type="gramEnd"/>
      <w:r>
        <w:rPr>
          <w:rFonts w:ascii="Calibri" w:hAnsi="Calibri" w:cs="Calibri"/>
        </w:rPr>
        <w:t xml:space="preserve"> описание планируемых к реализации мероприятий, планируемые к достижению результаты, виды планируемых к реализации работ), заверенное подписью главы администрации муниципального образования;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гарантийное письмо муниципального образования о том, что внедренные цифровые технологии и платформенные решения будут использоваться в течение двух лет, заверенное подписью главы администрации муниципального образования;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расчет-обоснование заявленной общей стоимости мероприятий по цифровизации городского хозяйства муниципального образования, </w:t>
      </w:r>
      <w:proofErr w:type="gramStart"/>
      <w:r>
        <w:rPr>
          <w:rFonts w:ascii="Calibri" w:hAnsi="Calibri" w:cs="Calibri"/>
        </w:rPr>
        <w:t>включающее</w:t>
      </w:r>
      <w:proofErr w:type="gramEnd"/>
      <w:r>
        <w:rPr>
          <w:rFonts w:ascii="Calibri" w:hAnsi="Calibri" w:cs="Calibri"/>
        </w:rPr>
        <w:t xml:space="preserve"> информацию о размере средств бюджета муниципального образования, планируемых на реализацию мероприятий по цифровизации городского хозяйства;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заявку на предоставление субсидии с указанием размера планируемой к предоставлению субсидии по форме, утвержденной распоряжением Комитета.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Ответственность за достоверность представленных документов несут администрации муниципальных образований.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 </w:t>
      </w:r>
      <w:proofErr w:type="gramStart"/>
      <w:r>
        <w:rPr>
          <w:rFonts w:ascii="Calibri" w:hAnsi="Calibri" w:cs="Calibri"/>
        </w:rPr>
        <w:t xml:space="preserve">Критерии оценки заявок муниципальных образований, порядок оценки заявок муниципальных образований по каждому из критериев, показатели значимости критериев для получения сводной оценки заявки муниципального образования устанавливаются в соответствии с </w:t>
      </w:r>
      <w:hyperlink w:anchor="Par120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оценки заявок муниципальных образований на участие в отборе муниципальных образований Ленинградской области на предоставление субсидии из областного бюджета Ленинградской области бюджетам муниципальных образований Ленинградской области на реализацию мероприятий по цифровизации городского</w:t>
      </w:r>
      <w:proofErr w:type="gramEnd"/>
      <w:r>
        <w:rPr>
          <w:rFonts w:ascii="Calibri" w:hAnsi="Calibri" w:cs="Calibri"/>
        </w:rPr>
        <w:t xml:space="preserve"> хозяйства муниципальных образований Ленинградской области согласно приложению к настоящему Порядку.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Комитет принимает решение о проведении отбора в форме правового акта Комитета, извещает о принятом решении (с указанием сроков проведения отбора) путем размещения информации на официальном сайте Комитета в информационно-телекоммуникационной сети "Интернет", осуществляет прием заявок с момента размещения указанной информации.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Срок приема заявок не может превышать 10 рабочих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извещения о проведении отбора.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Комитет проводит проверку документов на соответствие требованиям </w:t>
      </w:r>
      <w:hyperlink w:anchor="Par32" w:history="1">
        <w:r>
          <w:rPr>
            <w:rFonts w:ascii="Calibri" w:hAnsi="Calibri" w:cs="Calibri"/>
            <w:color w:val="0000FF"/>
          </w:rPr>
          <w:t>пунктов 3.2</w:t>
        </w:r>
      </w:hyperlink>
      <w:r>
        <w:rPr>
          <w:rFonts w:ascii="Calibri" w:hAnsi="Calibri" w:cs="Calibri"/>
        </w:rPr>
        <w:t xml:space="preserve"> и </w:t>
      </w:r>
      <w:hyperlink w:anchor="Par35" w:history="1">
        <w:r>
          <w:rPr>
            <w:rFonts w:ascii="Calibri" w:hAnsi="Calibri" w:cs="Calibri"/>
            <w:color w:val="0000FF"/>
          </w:rPr>
          <w:t>3.3</w:t>
        </w:r>
      </w:hyperlink>
      <w:r>
        <w:rPr>
          <w:rFonts w:ascii="Calibri" w:hAnsi="Calibri" w:cs="Calibri"/>
        </w:rPr>
        <w:t xml:space="preserve"> настоящего Порядка не позднее 10 рабочих дней </w:t>
      </w:r>
      <w:proofErr w:type="gramStart"/>
      <w:r>
        <w:rPr>
          <w:rFonts w:ascii="Calibri" w:hAnsi="Calibri" w:cs="Calibri"/>
        </w:rPr>
        <w:t>с даты окончания</w:t>
      </w:r>
      <w:proofErr w:type="gramEnd"/>
      <w:r>
        <w:rPr>
          <w:rFonts w:ascii="Calibri" w:hAnsi="Calibri" w:cs="Calibri"/>
        </w:rPr>
        <w:t xml:space="preserve"> приема заявок.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Основаниями для отклонения заявки являются: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непредставление документов в срок, установленный для проведения отбора;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несоответствие муниципального образования критериям отбора, указанным в </w:t>
      </w:r>
      <w:hyperlink w:anchor="Par32" w:history="1">
        <w:r>
          <w:rPr>
            <w:rFonts w:ascii="Calibri" w:hAnsi="Calibri" w:cs="Calibri"/>
            <w:color w:val="0000FF"/>
          </w:rPr>
          <w:t>пункте 3.2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непредставление (представление не в полном объеме) документов, указанных в </w:t>
      </w:r>
      <w:hyperlink w:anchor="Par35" w:history="1">
        <w:r>
          <w:rPr>
            <w:rFonts w:ascii="Calibri" w:hAnsi="Calibri" w:cs="Calibri"/>
            <w:color w:val="0000FF"/>
          </w:rPr>
          <w:t>пункте 3.3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недостоверность представленной информации.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3.9. </w:t>
      </w:r>
      <w:proofErr w:type="gramStart"/>
      <w:r>
        <w:rPr>
          <w:rFonts w:ascii="Calibri" w:hAnsi="Calibri" w:cs="Calibri"/>
        </w:rPr>
        <w:t>Комитет осуществляет оценку заявок по балльной системе (при отсутствии оснований для отклонения заявок) в течение 20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субсидии в форме правового акта Комитета об утверждении списков муниципальных образований - получателей субсидии и размере предоставляемой им субсидии, извещает о принятом решении в течение 10</w:t>
      </w:r>
      <w:proofErr w:type="gramEnd"/>
      <w:r>
        <w:rPr>
          <w:rFonts w:ascii="Calibri" w:hAnsi="Calibri" w:cs="Calibri"/>
        </w:rPr>
        <w:t xml:space="preserve"> рабочих дней путем размещения информации на официальном сайте Комитета в информационно-телекоммуникационной сети "Интернет".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Победителями отбора признаются муниципальные образования, набравшие в сумме наибольшее количество баллов (наибольшая сводная оценка заявок) по результатам проведенного отбора.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несколько муниципальных образований набирают равное количество баллов, победителем признается муниципальное образование, чья заявка зарегистрирована ранее.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54"/>
      <w:bookmarkEnd w:id="4"/>
      <w:r>
        <w:rPr>
          <w:rFonts w:ascii="Calibri" w:hAnsi="Calibri" w:cs="Calibri"/>
        </w:rPr>
        <w:t xml:space="preserve">3.11. При превышении общего объема средств по заявкам муниципальных образований над бюджетными ассигнованиями, предусмотренными на предоставление субсидии, распределение </w:t>
      </w:r>
      <w:r>
        <w:rPr>
          <w:rFonts w:ascii="Calibri" w:hAnsi="Calibri" w:cs="Calibri"/>
        </w:rPr>
        <w:lastRenderedPageBreak/>
        <w:t xml:space="preserve">субсидии между муниципальными образованиями осуществляется в соответствии с </w:t>
      </w:r>
      <w:hyperlink w:anchor="Par69" w:history="1">
        <w:r>
          <w:rPr>
            <w:rFonts w:ascii="Calibri" w:hAnsi="Calibri" w:cs="Calibri"/>
            <w:color w:val="0000FF"/>
          </w:rPr>
          <w:t>пунктом 4.2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3.12. Количество победителей отбора определяется исходя из объема субсидии, предусмотренной в областном бюджете в текущем финансовом году на </w:t>
      </w:r>
      <w:proofErr w:type="spellStart"/>
      <w:r>
        <w:rPr>
          <w:rFonts w:ascii="Calibri" w:hAnsi="Calibri" w:cs="Calibri"/>
        </w:rPr>
        <w:t>софинансирование</w:t>
      </w:r>
      <w:proofErr w:type="spellEnd"/>
      <w:r>
        <w:rPr>
          <w:rFonts w:ascii="Calibri" w:hAnsi="Calibri" w:cs="Calibri"/>
        </w:rPr>
        <w:t xml:space="preserve"> соответствующих расходных обязательств муниципальных образований.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3.13. Дополнительный отбор заявок муниципальных образований производится в соответствии с </w:t>
      </w:r>
      <w:hyperlink w:anchor="Par31" w:history="1">
        <w:r>
          <w:rPr>
            <w:rFonts w:ascii="Calibri" w:hAnsi="Calibri" w:cs="Calibri"/>
            <w:color w:val="0000FF"/>
          </w:rPr>
          <w:t>пунктами 3.1</w:t>
        </w:r>
      </w:hyperlink>
      <w:r>
        <w:rPr>
          <w:rFonts w:ascii="Calibri" w:hAnsi="Calibri" w:cs="Calibri"/>
        </w:rPr>
        <w:t xml:space="preserve"> - </w:t>
      </w:r>
      <w:hyperlink w:anchor="Par54" w:history="1">
        <w:r>
          <w:rPr>
            <w:rFonts w:ascii="Calibri" w:hAnsi="Calibri" w:cs="Calibri"/>
            <w:color w:val="0000FF"/>
          </w:rPr>
          <w:t>3.11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Распределение субсидии между муниципальными образованиями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Распределение субсидии между муниципальными образованиями осуществляется на конкурсной основе исходя из заявок муниципальных образований по формуле: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</w:t>
      </w:r>
      <w:proofErr w:type="gramStart"/>
      <w:r>
        <w:rPr>
          <w:rFonts w:ascii="Calibri" w:hAnsi="Calibri" w:cs="Calibri"/>
          <w:vertAlign w:val="subscript"/>
        </w:rPr>
        <w:t>i</w:t>
      </w:r>
      <w:proofErr w:type="spellEnd"/>
      <w:proofErr w:type="gramEnd"/>
      <w:r>
        <w:rPr>
          <w:rFonts w:ascii="Calibri" w:hAnsi="Calibri" w:cs="Calibri"/>
        </w:rPr>
        <w:t xml:space="preserve"> = </w:t>
      </w:r>
      <w:proofErr w:type="spellStart"/>
      <w:r>
        <w:rPr>
          <w:rFonts w:ascii="Calibri" w:hAnsi="Calibri" w:cs="Calibri"/>
        </w:rPr>
        <w:t>ЗС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x </w:t>
      </w:r>
      <w:proofErr w:type="spellStart"/>
      <w:r>
        <w:rPr>
          <w:rFonts w:ascii="Calibri" w:hAnsi="Calibri" w:cs="Calibri"/>
        </w:rPr>
        <w:t>УС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>,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</w:t>
      </w:r>
      <w:proofErr w:type="gramStart"/>
      <w:r>
        <w:rPr>
          <w:rFonts w:ascii="Calibri" w:hAnsi="Calibri" w:cs="Calibri"/>
          <w:vertAlign w:val="subscript"/>
        </w:rPr>
        <w:t>i</w:t>
      </w:r>
      <w:proofErr w:type="spellEnd"/>
      <w:proofErr w:type="gramEnd"/>
      <w:r>
        <w:rPr>
          <w:rFonts w:ascii="Calibri" w:hAnsi="Calibri" w:cs="Calibri"/>
        </w:rPr>
        <w:t xml:space="preserve"> - объем субсидии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муниципального образования;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ЗС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- плановый общий объем расходов на исполнение </w:t>
      </w:r>
      <w:proofErr w:type="spellStart"/>
      <w:r>
        <w:rPr>
          <w:rFonts w:ascii="Calibri" w:hAnsi="Calibri" w:cs="Calibri"/>
        </w:rPr>
        <w:t>софинансируемых</w:t>
      </w:r>
      <w:proofErr w:type="spellEnd"/>
      <w:r>
        <w:rPr>
          <w:rFonts w:ascii="Calibri" w:hAnsi="Calibri" w:cs="Calibri"/>
        </w:rPr>
        <w:t xml:space="preserve"> обязательств в соответствии с заявкой (заявками)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муниципального образования, отобранной (отобранными) для предоставления субсидии;</w:t>
      </w:r>
      <w:proofErr w:type="gramEnd"/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УС</w:t>
      </w:r>
      <w:proofErr w:type="gramStart"/>
      <w:r>
        <w:rPr>
          <w:rFonts w:ascii="Calibri" w:hAnsi="Calibri" w:cs="Calibri"/>
          <w:vertAlign w:val="subscript"/>
        </w:rPr>
        <w:t>i</w:t>
      </w:r>
      <w:proofErr w:type="spellEnd"/>
      <w:proofErr w:type="gramEnd"/>
      <w:r>
        <w:rPr>
          <w:rFonts w:ascii="Calibri" w:hAnsi="Calibri" w:cs="Calibri"/>
        </w:rPr>
        <w:t xml:space="preserve"> - предельный уровень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для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муниципального образования.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9"/>
      <w:bookmarkEnd w:id="5"/>
      <w:r>
        <w:rPr>
          <w:rFonts w:ascii="Calibri" w:hAnsi="Calibri" w:cs="Calibri"/>
        </w:rPr>
        <w:t>4.2. В случае превышения общего объема средств по заявкам муниципальных образований над бюджетными ассигнованиями, предусмотренными на предоставление субсидии, распределение субсидии между муниципальными образованиями осуществляется в соответствии с формулой: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7"/>
          <w:lang w:eastAsia="ru-RU"/>
        </w:rPr>
        <w:drawing>
          <wp:inline distT="0" distB="0" distL="0" distR="0">
            <wp:extent cx="1038225" cy="495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общий объем субсидии, подлежащий распределению между муниципальными образованиями в соответствующем году;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V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- объем расходов, направленный на реализацию мероприятий по внедрению цифровых технологий и платформенных решений в рамках цифровизации городского хозяйства муниципальных образований, в соответствии с заявкой (заявками)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муниципального образования, отобранной (отобранными) для предоставления субсидии.</w:t>
      </w:r>
      <w:proofErr w:type="gramEnd"/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Распределение субсидии утверждается нормативным правовым актом Правительства Ленинградской области до 1 февраля года предоставления субсидии.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Основаниями для внесения изменений в утвержденное распределение субсидии являются: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заключенного муниципального контракта в срок, указанный в соглашении;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отсутствие заключенного соглашения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пунктом 4.3</w:t>
        </w:r>
      </w:hyperlink>
      <w:r>
        <w:rPr>
          <w:rFonts w:ascii="Calibri" w:hAnsi="Calibri" w:cs="Calibri"/>
        </w:rPr>
        <w:t xml:space="preserve"> Правил;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расторжение соглашения;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уточнение планового объема расходов на исполнение финансируемых обязательств по итогам заключения муниципальных контрактов на поставку товаров, выполнение работ, оказание услуг;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экономия средств субсидии по результатам заключенных муниципальных контрактов;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изменение общего объема бюджетных ассигнований областного бюджета, предусмотренного на предоставление субсидии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пунктом 3.6</w:t>
        </w:r>
      </w:hyperlink>
      <w:r>
        <w:rPr>
          <w:rFonts w:ascii="Calibri" w:hAnsi="Calibri" w:cs="Calibri"/>
        </w:rPr>
        <w:t xml:space="preserve"> Правил.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Перераспределение субсидии между муниципальными образованиями производится в порядке очередности по количеству набранных баллов из заявок, прошедших отбор, </w:t>
      </w:r>
      <w:proofErr w:type="gramStart"/>
      <w:r>
        <w:rPr>
          <w:rFonts w:ascii="Calibri" w:hAnsi="Calibri" w:cs="Calibri"/>
        </w:rPr>
        <w:t>и(</w:t>
      </w:r>
      <w:proofErr w:type="gramEnd"/>
      <w:r>
        <w:rPr>
          <w:rFonts w:ascii="Calibri" w:hAnsi="Calibri" w:cs="Calibri"/>
        </w:rPr>
        <w:t>или) из заявок, прошедших дополнительный отбор.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Порядок предоставления субсидии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Соглашения заключаются по типовой форме, утвержденной Комитетом финансов Ленинградской области, в информационной системе "Управление бюджетным процессом Ленинградской области" до 15 февраля года предоставления субсидии в соответствии с </w:t>
      </w:r>
      <w:hyperlink r:id="rId13" w:history="1">
        <w:r>
          <w:rPr>
            <w:rFonts w:ascii="Calibri" w:hAnsi="Calibri" w:cs="Calibri"/>
            <w:color w:val="0000FF"/>
          </w:rPr>
          <w:t>пунктами 4.1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4.3</w:t>
        </w:r>
      </w:hyperlink>
      <w:r>
        <w:rPr>
          <w:rFonts w:ascii="Calibri" w:hAnsi="Calibri" w:cs="Calibri"/>
        </w:rPr>
        <w:t xml:space="preserve"> Правил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Соглашение дополнительно должно содержать в том числе: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перечень мероприятий по цифровизации городского хозяйства муниципального образования, включающих внедрение цифровых технологий и платформенных решений;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реквизиты правового акта муниципального образования, устанавливающего расходное обязательство муниципального образования,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которого предоставляется субсидия;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условие о гарантийном письме муниципального образования о том, что внедренные цифровые технологии и платформенные решения будут использоваться в течение двух лет, заверенное подписью главы администрации муниципального образования;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условие о предельной дате заключения муниципальных контрактов по результатам закупки товаров, работ и услуг для обеспечения муниципальных нужд в целях реализации муниципальных программ в течение 45 календарных дней с даты принятия нормативного правового акта Правительства Ленинградской области о распределении субсидии для заключения муниципальных контрактов на выполнение работ по цифровизации городского хозяйства, но не позднее 1 июля года предоставления субсидии</w:t>
      </w:r>
      <w:proofErr w:type="gramEnd"/>
      <w:r>
        <w:rPr>
          <w:rFonts w:ascii="Calibri" w:hAnsi="Calibri" w:cs="Calibri"/>
        </w:rPr>
        <w:t>, за исключением: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случаев обжалования действий (бездействия) заказчика </w:t>
      </w:r>
      <w:proofErr w:type="gramStart"/>
      <w:r>
        <w:rPr>
          <w:rFonts w:ascii="Calibri" w:hAnsi="Calibri" w:cs="Calibri"/>
        </w:rPr>
        <w:t>и(</w:t>
      </w:r>
      <w:proofErr w:type="gramEnd"/>
      <w:r>
        <w:rPr>
          <w:rFonts w:ascii="Calibri" w:hAnsi="Calibri" w:cs="Calibri"/>
        </w:rPr>
        <w:t>или) комиссии по осуществлению закупок, и(или)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муниципальных контрактов продлевается на срок проведения конкурсных процедур;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случаев заключения таких муниципальных контрактов в пределах экономии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муниципальных контрактов продлевается до 15 декабря года предоставления субсидии;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условие о сроке завершения реализации мероприятий по цифровизации городского хозяйства муниципального образования, включающих внедрение цифровых технологий и платформенных решений;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условия об осуществлении Комитетом в соответствии с бюджетным законодательством Российской Федерации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муниципальными образованиями целей, порядка и условий предоставления субсидии и достижения ими значений результатов использования субсидии.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в соглашение изменений осуществляется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пунктом 4.3</w:t>
        </w:r>
      </w:hyperlink>
      <w:r>
        <w:rPr>
          <w:rFonts w:ascii="Calibri" w:hAnsi="Calibri" w:cs="Calibri"/>
        </w:rPr>
        <w:t xml:space="preserve"> Правил.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При заключении соглашения муниципальные образования представляют в Комитет документы, установленные </w:t>
      </w:r>
      <w:hyperlink r:id="rId16" w:history="1">
        <w:r>
          <w:rPr>
            <w:rFonts w:ascii="Calibri" w:hAnsi="Calibri" w:cs="Calibri"/>
            <w:color w:val="0000FF"/>
          </w:rPr>
          <w:t>пунктом 4.4</w:t>
        </w:r>
      </w:hyperlink>
      <w:r>
        <w:rPr>
          <w:rFonts w:ascii="Calibri" w:hAnsi="Calibri" w:cs="Calibri"/>
        </w:rPr>
        <w:t xml:space="preserve"> Правил.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Перечисление субсидий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 перечислении субсидии муниципальное образование посредством использования информационной системы "Управление бюджетным процессом Ленинградской области" представляет в Комитет платежный документ с одновременным представлением документов, подтверждающих потребность в осуществлении расходов. Перечень документов, подтверждающих потребность в осуществлении расходов, устанавливается в соглашении.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 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>
        <w:rPr>
          <w:rFonts w:ascii="Calibri" w:hAnsi="Calibri" w:cs="Calibri"/>
        </w:rPr>
        <w:t>с даты поступления</w:t>
      </w:r>
      <w:proofErr w:type="gramEnd"/>
      <w:r>
        <w:rPr>
          <w:rFonts w:ascii="Calibri" w:hAnsi="Calibri" w:cs="Calibri"/>
        </w:rPr>
        <w:t xml:space="preserve"> оформленного надлежащим образом платежного документа.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</w:t>
      </w:r>
      <w:proofErr w:type="gramStart"/>
      <w:r>
        <w:rPr>
          <w:rFonts w:ascii="Calibri" w:hAnsi="Calibri" w:cs="Calibri"/>
        </w:rPr>
        <w:t>Комитет до 1 февраля года, следующего за отчетным, представляет сводный отчет о целевом использовании субсидии в разрезе муниципальных образований,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интернет-портале Администрации Ленинградской области в информационно-телекоммуникационной сети "Интернет".</w:t>
      </w:r>
      <w:proofErr w:type="gramEnd"/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Принятие решения о подтверждении потребности в текущем финансовом году в остатке субсидии, предоставленной в отчетном году, допускается однократно в течение срока действия соглашения.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5.10. 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5.11. В случае </w:t>
      </w:r>
      <w:proofErr w:type="spellStart"/>
      <w:r>
        <w:rPr>
          <w:rFonts w:ascii="Calibri" w:hAnsi="Calibri" w:cs="Calibri"/>
        </w:rPr>
        <w:t>недостижения</w:t>
      </w:r>
      <w:proofErr w:type="spellEnd"/>
      <w:r>
        <w:rPr>
          <w:rFonts w:ascii="Calibri" w:hAnsi="Calibri" w:cs="Calibri"/>
        </w:rPr>
        <w:t xml:space="preserve"> муниципальным образованием значений результатов использования субсидии к нему применяются меры ответственности, предусмотренные </w:t>
      </w:r>
      <w:hyperlink r:id="rId17" w:history="1">
        <w:r>
          <w:rPr>
            <w:rFonts w:ascii="Calibri" w:hAnsi="Calibri" w:cs="Calibri"/>
            <w:color w:val="0000FF"/>
          </w:rPr>
          <w:t>разделом 5</w:t>
        </w:r>
      </w:hyperlink>
      <w:r>
        <w:rPr>
          <w:rFonts w:ascii="Calibri" w:hAnsi="Calibri" w:cs="Calibri"/>
        </w:rPr>
        <w:t xml:space="preserve"> Правил.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5.12. Обеспечение соблюдения муниципальными образованиями целей, порядка и условий предоставления субсидии (в том числе достижения ими целевых показателей результативности) осуществляется Комитетом в соответствии с бюджетным законодательством Российской Федерации.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целей, порядка и условий предоставления субсидии,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являются субсидии, осуществляется </w:t>
      </w:r>
      <w:r>
        <w:rPr>
          <w:rFonts w:ascii="Calibri" w:hAnsi="Calibri" w:cs="Calibri"/>
        </w:rPr>
        <w:lastRenderedPageBreak/>
        <w:t>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Порядку...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120"/>
      <w:bookmarkEnd w:id="6"/>
      <w:r>
        <w:rPr>
          <w:rFonts w:ascii="Calibri" w:hAnsi="Calibri" w:cs="Calibri"/>
          <w:b/>
          <w:bCs/>
        </w:rPr>
        <w:t>МЕТОДИКА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ОЦЕНКИ ЗАЯВОК МУНИЦИПАЛЬНЫХ ОБРАЗОВАНИЙ НА УЧАСТИЕ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ОТБОРЕ МУНИЦИПАЛЬНЫХ ОБРАЗОВАНИЙ ЛЕНИНГРАДСКОЙ ОБЛАСТИ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ПРЕДОСТАВЛЕНИЕ СУБСИДИИ ИЗ ОБЛАСТНОГО БЮДЖЕТА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ЛЕНИНГРАДСКОЙ ОБЛАСТИ БЮДЖЕТАМ МУНИЦИПАЛЬНЫХ ОБРАЗОВАНИЙ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ЛЕНИНГРАДСКОЙ ОБЛАСТИ НА РЕАЛИЗАЦИЮ МЕРОПРИЯТИЙ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 ЦИФРОВИЗАЦИИ ГОРОДСКОГО ХОЗЯЙСТВА </w:t>
      </w:r>
      <w:proofErr w:type="gramStart"/>
      <w:r>
        <w:rPr>
          <w:rFonts w:ascii="Calibri" w:hAnsi="Calibri" w:cs="Calibri"/>
          <w:b/>
          <w:bCs/>
        </w:rPr>
        <w:t>МУНИЦИПАЛЬНЫХ</w:t>
      </w:r>
      <w:proofErr w:type="gramEnd"/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ОБРАЗОВАНИЙ ЛЕНИНГРАДСКОЙ ОБЛАСТИ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3005"/>
        <w:gridCol w:w="1077"/>
        <w:gridCol w:w="1474"/>
      </w:tblGrid>
      <w:tr w:rsidR="00672BF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критерия и его характеристика &lt;*&gt;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критерия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Балльная оценка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Весовой коэффициент критерия</w:t>
            </w:r>
          </w:p>
        </w:tc>
      </w:tr>
      <w:tr w:rsidR="00672BF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72BF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Заявленные к реализации мероприятия направлены на </w:t>
            </w:r>
            <w:proofErr w:type="spellStart"/>
            <w:r>
              <w:rPr>
                <w:rFonts w:ascii="Calibri" w:hAnsi="Calibri" w:cs="Calibri"/>
              </w:rPr>
              <w:t>цифровизацию</w:t>
            </w:r>
            <w:proofErr w:type="spellEnd"/>
            <w:r>
              <w:rPr>
                <w:rFonts w:ascii="Calibri" w:hAnsi="Calibri" w:cs="Calibri"/>
              </w:rPr>
              <w:t xml:space="preserve"> городского хозяйства муниципальных образований и способствуют повышению качества управления городскими ресурсами, формированию эффективной системы управления городским хозяйством, создание безопасных и комфортных условий для жизни горожан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Взаимодействие с населением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672B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Технологичность городской инфраструктуры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2B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качества управления городскими ресурсами</w:t>
            </w:r>
          </w:p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(автоматизированный процесс)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2B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Акцент на экономической эффективности, в том числе сервисной составляющей городской среды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2BF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Возможность осуществления контроля, мониторинга и доступа к информации о работе коммунальной техники и служб жилищно-коммунального хозяйства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Только мониторинг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672B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и мониторинг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2BF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Масштабность использования мероприятий по цифровизации городского хозяйства муниципального образования, включающих </w:t>
            </w:r>
            <w:r>
              <w:rPr>
                <w:rFonts w:ascii="Calibri" w:hAnsi="Calibri" w:cs="Calibri"/>
              </w:rPr>
              <w:lastRenderedPageBreak/>
              <w:t>внедрение цифровых технологий и платформенных решений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Отсутствует возможность распространения практики в другие муниципальные образования Ленинградской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672B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Присутствует возможность распространения практики в другие муниципальные образования Ленинградской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2BF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Эффективность цифровизации городского хозяйства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position w:val="-26"/>
                <w:lang w:eastAsia="ru-RU"/>
              </w:rPr>
              <w:drawing>
                <wp:inline distT="0" distB="0" distL="0" distR="0">
                  <wp:extent cx="66675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где:</w:t>
            </w:r>
          </w:p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- количество показателей, характеризующих достижение целевых (базовых) и дополнительных требований по цифровизации городского хозяйства (базовые и дополнительные показатели к Умным городам - стандарт "Умного города", утвержденные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приказом</w:t>
              </w:r>
            </w:hyperlink>
            <w:r>
              <w:rPr>
                <w:rFonts w:ascii="Calibri" w:hAnsi="Calibri" w:cs="Calibri"/>
              </w:rPr>
              <w:t xml:space="preserve"> Минстроя России от 28 сентября 2023 года N 696/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</w:t>
            </w:r>
            <w:proofErr w:type="spellEnd"/>
            <w:proofErr w:type="gramEnd"/>
            <w:r>
              <w:rPr>
                <w:rFonts w:ascii="Calibri" w:hAnsi="Calibri" w:cs="Calibri"/>
              </w:rPr>
              <w:t>);</w:t>
            </w:r>
          </w:p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>
              <w:rPr>
                <w:rFonts w:ascii="Calibri" w:hAnsi="Calibri" w:cs="Calibri"/>
                <w:vertAlign w:val="subscript"/>
              </w:rPr>
              <w:t>с</w:t>
            </w:r>
            <w:r>
              <w:rPr>
                <w:rFonts w:ascii="Calibri" w:hAnsi="Calibri" w:cs="Calibri"/>
              </w:rPr>
              <w:t xml:space="preserve"> - количество планируемых к реализации мероприятий: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672B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2B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21 до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2B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51 до 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2B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3" w:rsidRDefault="00672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Оценка критериев производится на основании представленного описания мероприятий, предусмотренного в заявке муниципального образования (в соответствии с </w:t>
      </w:r>
      <w:hyperlink w:anchor="Par35" w:history="1">
        <w:r>
          <w:rPr>
            <w:rFonts w:ascii="Calibri" w:hAnsi="Calibri" w:cs="Calibri"/>
            <w:color w:val="0000FF"/>
          </w:rPr>
          <w:t>пунктом 3.3</w:t>
        </w:r>
      </w:hyperlink>
      <w:r>
        <w:rPr>
          <w:rFonts w:ascii="Calibri" w:hAnsi="Calibri" w:cs="Calibri"/>
        </w:rPr>
        <w:t xml:space="preserve"> настоящего Порядка).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 сводной оценки заявки муниципального образования определяется по формуле:</w:t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1"/>
          <w:lang w:eastAsia="ru-RU"/>
        </w:rPr>
        <w:drawing>
          <wp:inline distT="0" distB="0" distL="0" distR="0">
            <wp:extent cx="1266825" cy="28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2BF3" w:rsidRDefault="00672BF3" w:rsidP="00672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</w:t>
      </w:r>
      <w:proofErr w:type="gramEnd"/>
      <w:r>
        <w:rPr>
          <w:rFonts w:ascii="Calibri" w:hAnsi="Calibri" w:cs="Calibri"/>
        </w:rPr>
        <w:t xml:space="preserve"> - </w:t>
      </w:r>
      <w:proofErr w:type="gramStart"/>
      <w:r>
        <w:rPr>
          <w:rFonts w:ascii="Calibri" w:hAnsi="Calibri" w:cs="Calibri"/>
        </w:rPr>
        <w:t>сводная</w:t>
      </w:r>
      <w:proofErr w:type="gramEnd"/>
      <w:r>
        <w:rPr>
          <w:rFonts w:ascii="Calibri" w:hAnsi="Calibri" w:cs="Calibri"/>
        </w:rPr>
        <w:t xml:space="preserve"> оценка заявки муниципального образования;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</w:t>
      </w:r>
      <w:proofErr w:type="gramStart"/>
      <w:r>
        <w:rPr>
          <w:rFonts w:ascii="Calibri" w:hAnsi="Calibri" w:cs="Calibri"/>
          <w:vertAlign w:val="subscript"/>
        </w:rPr>
        <w:t>i</w:t>
      </w:r>
      <w:proofErr w:type="spellEnd"/>
      <w:proofErr w:type="gramEnd"/>
      <w:r>
        <w:rPr>
          <w:rFonts w:ascii="Calibri" w:hAnsi="Calibri" w:cs="Calibri"/>
        </w:rPr>
        <w:t xml:space="preserve"> - балльная оценка заявки муниципального образования по i-</w:t>
      </w:r>
      <w:proofErr w:type="spellStart"/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</w:rPr>
        <w:t xml:space="preserve"> критерию;</w:t>
      </w:r>
    </w:p>
    <w:p w:rsidR="00672BF3" w:rsidRDefault="00672BF3" w:rsidP="00672B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ВК</w:t>
      </w:r>
      <w:proofErr w:type="gramStart"/>
      <w:r>
        <w:rPr>
          <w:rFonts w:ascii="Calibri" w:hAnsi="Calibri" w:cs="Calibri"/>
          <w:vertAlign w:val="subscript"/>
        </w:rPr>
        <w:t>i</w:t>
      </w:r>
      <w:proofErr w:type="spellEnd"/>
      <w:proofErr w:type="gramEnd"/>
      <w:r>
        <w:rPr>
          <w:rFonts w:ascii="Calibri" w:hAnsi="Calibri" w:cs="Calibri"/>
        </w:rPr>
        <w:t xml:space="preserve"> - весовой коэффициент для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критерия.</w:t>
      </w:r>
    </w:p>
    <w:p w:rsidR="00745AD5" w:rsidRDefault="00745AD5"/>
    <w:sectPr w:rsidR="00745AD5" w:rsidSect="00672BF3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66"/>
    <w:rsid w:val="00295EE9"/>
    <w:rsid w:val="00672BF3"/>
    <w:rsid w:val="00745AD5"/>
    <w:rsid w:val="0078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870&amp;dst=100538" TargetMode="External"/><Relationship Id="rId13" Type="http://schemas.openxmlformats.org/officeDocument/2006/relationships/hyperlink" Target="https://login.consultant.ru/link/?req=doc&amp;base=SPB&amp;n=308870&amp;dst=100636" TargetMode="External"/><Relationship Id="rId18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08870&amp;dst=100636" TargetMode="External"/><Relationship Id="rId12" Type="http://schemas.openxmlformats.org/officeDocument/2006/relationships/hyperlink" Target="https://login.consultant.ru/link/?req=doc&amp;base=SPB&amp;n=308870&amp;dst=100635" TargetMode="External"/><Relationship Id="rId17" Type="http://schemas.openxmlformats.org/officeDocument/2006/relationships/hyperlink" Target="https://login.consultant.ru/link/?req=doc&amp;base=SPB&amp;n=308870&amp;dst=1005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870&amp;dst=100538" TargetMode="Externa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999&amp;dst=1002" TargetMode="External"/><Relationship Id="rId11" Type="http://schemas.openxmlformats.org/officeDocument/2006/relationships/hyperlink" Target="https://login.consultant.ru/link/?req=doc&amp;base=SPB&amp;n=308870&amp;dst=100641" TargetMode="External"/><Relationship Id="rId5" Type="http://schemas.openxmlformats.org/officeDocument/2006/relationships/hyperlink" Target="https://login.consultant.ru/link/?req=doc&amp;base=LAW&amp;n=480999&amp;dst=996" TargetMode="External"/><Relationship Id="rId15" Type="http://schemas.openxmlformats.org/officeDocument/2006/relationships/hyperlink" Target="https://login.consultant.ru/link/?req=doc&amp;base=SPB&amp;n=308870&amp;dst=100641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login.consultant.ru/link/?req=doc&amp;base=EXP&amp;n=838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454" TargetMode="External"/><Relationship Id="rId14" Type="http://schemas.openxmlformats.org/officeDocument/2006/relationships/hyperlink" Target="https://login.consultant.ru/link/?req=doc&amp;base=SPB&amp;n=308870&amp;dst=10064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Власова</dc:creator>
  <cp:lastModifiedBy>Прокопенко Елизавета Сергеевна</cp:lastModifiedBy>
  <cp:revision>2</cp:revision>
  <dcterms:created xsi:type="dcterms:W3CDTF">2025-12-08T09:42:00Z</dcterms:created>
  <dcterms:modified xsi:type="dcterms:W3CDTF">2025-12-08T09:42:00Z</dcterms:modified>
</cp:coreProperties>
</file>