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B" w:rsidRDefault="00E61D5B">
      <w:pPr>
        <w:pStyle w:val="ConsPlusNormal"/>
        <w:jc w:val="right"/>
        <w:outlineLvl w:val="1"/>
      </w:pPr>
      <w:r>
        <w:t>Приложение 5</w:t>
      </w:r>
    </w:p>
    <w:p w:rsidR="00E61D5B" w:rsidRDefault="00E61D5B">
      <w:pPr>
        <w:pStyle w:val="ConsPlusNormal"/>
        <w:jc w:val="right"/>
      </w:pPr>
      <w:r>
        <w:t>к государственной программе...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Title"/>
        <w:jc w:val="center"/>
      </w:pPr>
      <w:bookmarkStart w:id="0" w:name="P1747"/>
      <w:bookmarkEnd w:id="0"/>
      <w:r>
        <w:t>ПОРЯДОК</w:t>
      </w:r>
    </w:p>
    <w:p w:rsidR="00E61D5B" w:rsidRDefault="00E61D5B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E61D5B" w:rsidRDefault="00E61D5B">
      <w:pPr>
        <w:pStyle w:val="ConsPlusTitle"/>
        <w:jc w:val="center"/>
      </w:pPr>
      <w:r>
        <w:t xml:space="preserve">БЮДЖЕТА ЛЕНИНГРАДСКОЙ ОБЛАСТИ И </w:t>
      </w:r>
      <w:proofErr w:type="gramStart"/>
      <w:r>
        <w:t>ПОСТУПИВШИХ</w:t>
      </w:r>
      <w:proofErr w:type="gramEnd"/>
      <w:r>
        <w:t xml:space="preserve"> В ПОРЯДКЕ</w:t>
      </w:r>
    </w:p>
    <w:p w:rsidR="00E61D5B" w:rsidRDefault="00E61D5B">
      <w:pPr>
        <w:pStyle w:val="ConsPlusTitle"/>
        <w:jc w:val="center"/>
      </w:pPr>
      <w:r>
        <w:t>СОФИНАНСИРОВАНИЯ СРЕДСТВ ФЕДЕРАЛЬНОГО БЮДЖЕТА БЮДЖЕТАМ</w:t>
      </w:r>
    </w:p>
    <w:p w:rsidR="00E61D5B" w:rsidRDefault="00E61D5B">
      <w:pPr>
        <w:pStyle w:val="ConsPlusTitle"/>
        <w:jc w:val="center"/>
      </w:pPr>
      <w:r>
        <w:t>МУНИЦИПАЛЬНЫХ ОБРАЗОВАНИЙ ЛЕНИНГРАДСКОЙ ОБЛАСТИ</w:t>
      </w:r>
    </w:p>
    <w:p w:rsidR="00E61D5B" w:rsidRDefault="00E61D5B">
      <w:pPr>
        <w:pStyle w:val="ConsPlusTitle"/>
        <w:jc w:val="center"/>
      </w:pPr>
      <w:r>
        <w:t xml:space="preserve">НА РЕАЛИЗАЦИЮ ПРОГРАММ ФОРМИРОВАНИЯ </w:t>
      </w:r>
      <w:proofErr w:type="gramStart"/>
      <w:r>
        <w:t>СОВРЕМЕННОЙ</w:t>
      </w:r>
      <w:proofErr w:type="gramEnd"/>
    </w:p>
    <w:p w:rsidR="00E61D5B" w:rsidRDefault="00E61D5B">
      <w:pPr>
        <w:pStyle w:val="ConsPlusTitle"/>
        <w:jc w:val="center"/>
      </w:pPr>
      <w:r>
        <w:t>ГОРОДСКОЙ СРЕДЫ</w:t>
      </w:r>
    </w:p>
    <w:p w:rsidR="00E61D5B" w:rsidRDefault="00E61D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61D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5B" w:rsidRDefault="00E61D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5B" w:rsidRDefault="00E61D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D5B" w:rsidRDefault="00E61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D5B" w:rsidRDefault="00E61D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61D5B" w:rsidRDefault="00E61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5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03.02.2023 </w:t>
            </w:r>
            <w:hyperlink r:id="rId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D5B" w:rsidRDefault="00E61D5B">
            <w:pPr>
              <w:pStyle w:val="ConsPlusNormal"/>
            </w:pPr>
          </w:p>
        </w:tc>
      </w:tr>
    </w:tbl>
    <w:p w:rsidR="00E61D5B" w:rsidRDefault="00E61D5B">
      <w:pPr>
        <w:pStyle w:val="ConsPlusNormal"/>
        <w:jc w:val="both"/>
      </w:pPr>
    </w:p>
    <w:p w:rsidR="00E61D5B" w:rsidRDefault="00E61D5B">
      <w:pPr>
        <w:pStyle w:val="ConsPlusTitle"/>
        <w:jc w:val="center"/>
        <w:outlineLvl w:val="2"/>
      </w:pPr>
      <w:r>
        <w:t>1. Общие положения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</w:t>
      </w:r>
      <w:proofErr w:type="spellStart"/>
      <w:r>
        <w:t>софинансирования</w:t>
      </w:r>
      <w:proofErr w:type="spellEnd"/>
      <w:r>
        <w:t xml:space="preserve"> средств федерального бюджета бюджетам муниципальных образований Ленинградской области (далее - муниципальные образования) на реализацию программ формирования современной городской среды в рамках федерального проекта "Формирование комфортной городской среды".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в части организации благоустройства территории поселения (городского округа) в соответствии с правилами благоустройства территории поселения (городского округа) по решению вопросов местного значения в соответствии с </w:t>
      </w:r>
      <w:hyperlink r:id="rId7">
        <w:r>
          <w:rPr>
            <w:color w:val="0000FF"/>
          </w:rPr>
          <w:t>пунктом 19 части 1 статьи 14</w:t>
        </w:r>
      </w:hyperlink>
      <w:r>
        <w:t xml:space="preserve"> и </w:t>
      </w:r>
      <w:hyperlink r:id="rId8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Title"/>
        <w:jc w:val="center"/>
        <w:outlineLvl w:val="2"/>
      </w:pPr>
      <w:bookmarkStart w:id="1" w:name="P1764"/>
      <w:bookmarkEnd w:id="1"/>
      <w:r>
        <w:t>2. Цели и условия предоставления субсидии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>2.1. Субсидия предоставляется муниципальным образованиям в целях реализации мероприятий по благоустройству общественных территорий (площадей, набережных, улиц, пешеходных зон, скверов, парков, иных территорий) муниципальных образований для повышения уровня комфортного проживания населения и улучшения эстетического облика территорий населенных пунктов.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2" w:name="P1767"/>
      <w:bookmarkEnd w:id="2"/>
      <w:r>
        <w:t xml:space="preserve">2.2. </w:t>
      </w:r>
      <w:proofErr w:type="gramStart"/>
      <w:r>
        <w:t xml:space="preserve">Субсидия в приоритетном порядке предоставляется в соответствии с </w:t>
      </w:r>
      <w:hyperlink r:id="rId9">
        <w:r>
          <w:rPr>
            <w:color w:val="0000FF"/>
          </w:rPr>
          <w:t>подпунктом "а" пункта 8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30 декабря 2017 года N 1710) (далее - Правила N 1710).</w:t>
      </w:r>
      <w:proofErr w:type="gramEnd"/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В обязательном порядке субсидия предоставляется в соответствии с </w:t>
      </w:r>
      <w:hyperlink r:id="rId10">
        <w:r>
          <w:rPr>
            <w:color w:val="0000FF"/>
          </w:rPr>
          <w:t>подпунктом "б" пункта 8</w:t>
        </w:r>
      </w:hyperlink>
      <w:r>
        <w:t xml:space="preserve"> Правил N 1710 в порядке, установленном </w:t>
      </w:r>
      <w:hyperlink w:anchor="P1764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E61D5B" w:rsidRDefault="00E61D5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77)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2.3. Результатом использования субсидии является количество реализованных проектов по благоустройству общественных территорий.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Плановые значения результата использования субсидии определяются на основании заявок </w:t>
      </w:r>
      <w:r>
        <w:lastRenderedPageBreak/>
        <w:t>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2.4. Субсидии предоставляются при соблюдении следующих условий: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1) наличие правовых актов муниципального образования, утверждающих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2) утратил силу с 3 февраля 2023 года.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77;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3) заключение соглашения о предоставлении субсидии в соответствии с </w:t>
      </w:r>
      <w:hyperlink r:id="rId13">
        <w:r>
          <w:rPr>
            <w:color w:val="0000FF"/>
          </w:rPr>
          <w:t>пунктами 4.1</w:t>
        </w:r>
      </w:hyperlink>
      <w:r>
        <w:t xml:space="preserve"> - </w:t>
      </w:r>
      <w:hyperlink r:id="rId14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 N 257).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2.5. На получателей субсидий из бюджета Ленинградской области возлагаются обязательства по обеспечению требований, установленных для общественных территорий </w:t>
      </w:r>
      <w:hyperlink r:id="rId15">
        <w:r>
          <w:rPr>
            <w:color w:val="0000FF"/>
          </w:rPr>
          <w:t>пунктом 10</w:t>
        </w:r>
      </w:hyperlink>
      <w:r>
        <w:t xml:space="preserve"> Правил N 1710.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2.6. Голосование по отбору общественных территорий, подлежащих благоустройству в рамках реализации муниципальных программ, с 2021 года проводится в электронной форме в информационно-телекоммуникационной сети "Интернет".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Title"/>
        <w:jc w:val="center"/>
        <w:outlineLvl w:val="2"/>
      </w:pPr>
      <w:r>
        <w:t>3. Порядок проведения отбора заявок муниципальных</w:t>
      </w:r>
    </w:p>
    <w:p w:rsidR="00E61D5B" w:rsidRDefault="00E61D5B">
      <w:pPr>
        <w:pStyle w:val="ConsPlusTitle"/>
        <w:jc w:val="center"/>
      </w:pPr>
      <w:r>
        <w:t>образований и распределения субсидии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>3.1. Субсидия предоставляется на конкурсной основе по результатам отбора муниципальных образований на основе оценки заявок муниципальных образований (далее - отбор).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3" w:name="P1784"/>
      <w:bookmarkEnd w:id="3"/>
      <w:r>
        <w:t>3.2. Решение о проведении отбора принимается Комитетом и оформляется правовым актом Комитета, в котором указываются сроки приема заявок на участие в отборе.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Прием заявок начинается со дня размещения на официальном сайте Комитета в информационно-телекоммуникационной сети "Интернет" объявления о проведении приема заявок муниципальных образований для предоставления субсидии (далее - объявление). Срок приема заявок указывается в объявлении и не может быть менее пяти рабочих дней и превышать 10 рабочих дней </w:t>
      </w:r>
      <w:proofErr w:type="gramStart"/>
      <w:r>
        <w:t>с даты размещения</w:t>
      </w:r>
      <w:proofErr w:type="gramEnd"/>
      <w:r>
        <w:t xml:space="preserve"> объявления.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4" w:name="P1786"/>
      <w:bookmarkEnd w:id="4"/>
      <w:r>
        <w:t>3.3. К отбору допускаются муниципальные образования, соответствующие следующим критериям: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а) наличие муниципальной программы формирования комфортной городской среды на 2018-2024 годы, прошедшей общественные обсуждения и содержащей адресный перечень общественных территорий, подлежащих благоустройству;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б) наличие в составе муниципального образования населенных пунктов с численностью населения свыше 1000 человек;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в) проведение органом местного самоуправления муниципального образования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установленном правовым актом Комитета, а также ежегодного голосования в случаях, указанных в </w:t>
      </w:r>
      <w:hyperlink r:id="rId16">
        <w:r>
          <w:rPr>
            <w:color w:val="0000FF"/>
          </w:rPr>
          <w:t>подпункте "д" пункта 8</w:t>
        </w:r>
      </w:hyperlink>
      <w:r>
        <w:t xml:space="preserve"> Правил N 1710.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5" w:name="P1790"/>
      <w:bookmarkEnd w:id="5"/>
      <w:r>
        <w:t>3.4. Для участия в отборе муниципальные образования представляют в Комитет: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6" w:name="P1791"/>
      <w:bookmarkEnd w:id="6"/>
      <w:r>
        <w:t>а) заявку на предоставление субсидии с указанием размера планируемой к представлению субсидии по форме, утвержденной правовым актом Комитета;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б) заверенную копию опубликованной муниципальной программы формирования современной </w:t>
      </w:r>
      <w:r>
        <w:lastRenderedPageBreak/>
        <w:t xml:space="preserve">городской среды, соответствующую требованиям </w:t>
      </w:r>
      <w:hyperlink r:id="rId17">
        <w:r>
          <w:rPr>
            <w:color w:val="0000FF"/>
          </w:rPr>
          <w:t>подпункта "н" пункта 8</w:t>
        </w:r>
      </w:hyperlink>
      <w:r>
        <w:t xml:space="preserve"> и </w:t>
      </w:r>
      <w:hyperlink r:id="rId18">
        <w:r>
          <w:rPr>
            <w:color w:val="0000FF"/>
          </w:rPr>
          <w:t>пункта 11</w:t>
        </w:r>
      </w:hyperlink>
      <w:r>
        <w:t xml:space="preserve"> Правил N 1710, с приложением адресного перечня общественных территорий, подлежащих благоустройству;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в) протокол общественной комиссии, содержащий сведения о количестве проголосовавших граждан за каждую общественную территорию;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г) проект благоустройства каждой общественной территории, содержащий: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фото и описание существующего состояния территории;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схему планируемого размещения объектов благоустройства на территории;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трехмерную модель территории, отражающую посредством визуализации проектные решения по объекту благоустройства;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топографическую съемку территории в масштабе 1:500;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разделы проекта, в которых указывается информация: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о наличии различных элементов благоустройства и их перечисление;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о привлекательности территории для различных групп населения, в том числе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о наличии </w:t>
      </w:r>
      <w:proofErr w:type="spellStart"/>
      <w:r>
        <w:t>энергоэффективного</w:t>
      </w:r>
      <w:proofErr w:type="spellEnd"/>
      <w:r>
        <w:t xml:space="preserve"> освещения общественной территории; архитектурной и художественной подсветки зданий, прилегающих к общественной территории; организации постоянного видеонаблюдения общественной территории;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о функциональном разнообразии объектов благоустройства с указанием количества функциональных зон;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о численности населенного пункта муниципального образования, в котором требуется проведение благоустройства;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д) локальный сметный расчет (смета) благоустройства территории по состоянию на год, в котором требуется проведение работ по благоустройству территории;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е) гарантийное письмо о том, что муниципальным образованием в случае признания его получателем субсидии в соответствии с </w:t>
      </w:r>
      <w:hyperlink w:anchor="P1821">
        <w:r>
          <w:rPr>
            <w:color w:val="0000FF"/>
          </w:rPr>
          <w:t>пунктом 3.11</w:t>
        </w:r>
      </w:hyperlink>
      <w:r>
        <w:t xml:space="preserve">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благоустройства, либо копию положительного </w:t>
      </w:r>
      <w:proofErr w:type="gramStart"/>
      <w:r>
        <w:t>заключения экспертизы достоверности определения сметной стоимости благоустройства</w:t>
      </w:r>
      <w:proofErr w:type="gramEnd"/>
      <w:r>
        <w:t>;</w:t>
      </w:r>
    </w:p>
    <w:p w:rsidR="00E61D5B" w:rsidRDefault="00E61D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577)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ж) гарантийное письмо муниципального образования о том, что все инженерные системы электро-, тепл</w:t>
      </w:r>
      <w:proofErr w:type="gramStart"/>
      <w:r>
        <w:t>о-</w:t>
      </w:r>
      <w:proofErr w:type="gramEnd"/>
      <w:r>
        <w:t>, газо-, водоснабжения, водоотведения не потребуют замены в течение пяти лет, заверенное подписью главы администрации муниципального образования;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з)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наследия, защитных зон и зон охраны объекта культурного наследия.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3.5. В случае внесения изменений в проект благоустройства общественной территории </w:t>
      </w:r>
      <w:proofErr w:type="gramStart"/>
      <w:r>
        <w:t>и(</w:t>
      </w:r>
      <w:proofErr w:type="gramEnd"/>
      <w:r>
        <w:t>или)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3.6. Ответственность за достоверность представленных документов несут администрации муниципальных образований.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3.7. Комитет осуществляет проверку документов на соответствие требованиям </w:t>
      </w:r>
      <w:hyperlink w:anchor="P1786">
        <w:r>
          <w:rPr>
            <w:color w:val="0000FF"/>
          </w:rPr>
          <w:t>пунктов 3.3</w:t>
        </w:r>
      </w:hyperlink>
      <w:r>
        <w:t xml:space="preserve"> и </w:t>
      </w:r>
      <w:hyperlink w:anchor="P1790">
        <w:r>
          <w:rPr>
            <w:color w:val="0000FF"/>
          </w:rPr>
          <w:t>3.4</w:t>
        </w:r>
      </w:hyperlink>
      <w:r>
        <w:t xml:space="preserve"> настоящего Порядка в течение 20 рабочих дней со дня указанной в объявлении даты окончания приема </w:t>
      </w:r>
      <w:r>
        <w:lastRenderedPageBreak/>
        <w:t>заявок.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3.8. Основаниями для отклонения заявки являются: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несоответствие заявки требованиям, установленным </w:t>
      </w:r>
      <w:hyperlink w:anchor="P1786">
        <w:r>
          <w:rPr>
            <w:color w:val="0000FF"/>
          </w:rPr>
          <w:t>пунктами 3.3</w:t>
        </w:r>
      </w:hyperlink>
      <w:r>
        <w:t xml:space="preserve"> и </w:t>
      </w:r>
      <w:hyperlink w:anchor="P1790">
        <w:r>
          <w:rPr>
            <w:color w:val="0000FF"/>
          </w:rPr>
          <w:t>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недостоверность представленной информации;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непредставление документов в срок, установленный для приема заявок.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3.9. Отбор муниципальных образований производится на основе оценки заявок, поданных муниципальными образованиями, с учетом требований </w:t>
      </w:r>
      <w:hyperlink w:anchor="P1767">
        <w:r>
          <w:rPr>
            <w:color w:val="0000FF"/>
          </w:rPr>
          <w:t>пункта 2.2</w:t>
        </w:r>
      </w:hyperlink>
      <w:r>
        <w:t xml:space="preserve"> настоящего Порядка.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3.10. </w:t>
      </w:r>
      <w:proofErr w:type="gramStart"/>
      <w:r>
        <w:t xml:space="preserve">Заявки муниципальных образований оцениваются в соответствии с </w:t>
      </w:r>
      <w:hyperlink w:anchor="P1870">
        <w:r>
          <w:rPr>
            <w:color w:val="0000FF"/>
          </w:rPr>
          <w:t>методикой</w:t>
        </w:r>
      </w:hyperlink>
      <w:r>
        <w:t xml:space="preserve">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согласно приложению к настоящему Порядку.</w:t>
      </w:r>
      <w:proofErr w:type="gramEnd"/>
      <w:r>
        <w:t xml:space="preserve"> Заявки оцениваются по балльной системе в течение 45 рабочих дней.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7" w:name="P1819"/>
      <w:bookmarkEnd w:id="7"/>
      <w:r>
        <w:t xml:space="preserve">Комитет публикует ориентировочные предельные размеры субсидии для заявки согласно </w:t>
      </w:r>
      <w:hyperlink w:anchor="P1791">
        <w:r>
          <w:rPr>
            <w:color w:val="0000FF"/>
          </w:rPr>
          <w:t>подпункту "а" пункта 3.4</w:t>
        </w:r>
      </w:hyperlink>
      <w:r>
        <w:t xml:space="preserve"> настоящего Порядка по муниципальным образованиям на официальном сайте в информационно-телекоммуникационной сети "Интернет" в зависимости от численности населенного пункта в составе муниципального образования с учетом общего размера субсидии, предусмотренного в бюджете на соответствующий финансовый год </w:t>
      </w:r>
      <w:proofErr w:type="gramStart"/>
      <w:r>
        <w:t>и(</w:t>
      </w:r>
      <w:proofErr w:type="gramEnd"/>
      <w:r>
        <w:t>или) плановый период,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"Формирование комфортной городской среды".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При превышении в заявке на предоставление субсидии размеров субсидий, указанных в </w:t>
      </w:r>
      <w:hyperlink w:anchor="P1819">
        <w:r>
          <w:rPr>
            <w:color w:val="0000FF"/>
          </w:rPr>
          <w:t>абзаце втором</w:t>
        </w:r>
      </w:hyperlink>
      <w:r>
        <w:t xml:space="preserve"> настоящего пункта, Комитет оставляет за собой право предоставить муниципальному образованию субсидию в пределах ориентировочных размеров субсидий.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8" w:name="P1821"/>
      <w:bookmarkEnd w:id="8"/>
      <w:r>
        <w:t xml:space="preserve">3.11. Количество победителей определяется исходя из объема субсидии, предусмотренной в областном бюджете Ленинградской области в соответствующем финансовом году на </w:t>
      </w:r>
      <w:proofErr w:type="spellStart"/>
      <w:r>
        <w:t>софинансирование</w:t>
      </w:r>
      <w:proofErr w:type="spellEnd"/>
      <w:r>
        <w:t xml:space="preserve"> в этом же году расходных обязательств муниципальных образований и показателей по федеральному проекту "Формирование комфортной городской среды".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На основании результатов оценки заявок по балльной системе Комитет принимает решение о признании муниципальных образований, набравших максимальное количество баллов, а также муниципальных образований, указанных в </w:t>
      </w:r>
      <w:hyperlink w:anchor="P1767">
        <w:r>
          <w:rPr>
            <w:color w:val="0000FF"/>
          </w:rPr>
          <w:t>пункте 2.2</w:t>
        </w:r>
      </w:hyperlink>
      <w:r>
        <w:t xml:space="preserve"> настоящего Порядка, получателями субсидии и оформляет указанное решение правовым актом Комитета в течение 20 рабочих дней. В правовом акте Комитета указываются перечень муниципальных образований, признанных получателями субсидии, и размер предоставляемой им субсидии (в рублях).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информационно-телекоммуникационной сети "Интернет".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9" w:name="P1824"/>
      <w:bookmarkEnd w:id="9"/>
      <w:r>
        <w:t>3.12. Распределение субсидии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3.13.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>где:</w:t>
      </w:r>
    </w:p>
    <w:p w:rsidR="00E61D5B" w:rsidRDefault="00E61D5B">
      <w:pPr>
        <w:pStyle w:val="ConsPlusNormal"/>
        <w:spacing w:before="20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E61D5B" w:rsidRDefault="00E61D5B">
      <w:pPr>
        <w:pStyle w:val="ConsPlusNormal"/>
        <w:spacing w:before="200"/>
        <w:ind w:firstLine="540"/>
        <w:jc w:val="both"/>
      </w:pPr>
      <w:proofErr w:type="spellStart"/>
      <w:proofErr w:type="gramStart"/>
      <w:r>
        <w:lastRenderedPageBreak/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E61D5B" w:rsidRDefault="00E61D5B">
      <w:pPr>
        <w:pStyle w:val="ConsPlusNormal"/>
        <w:spacing w:before="20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20">
        <w:r>
          <w:rPr>
            <w:color w:val="0000FF"/>
          </w:rPr>
          <w:t>пунктом 6.4</w:t>
        </w:r>
      </w:hyperlink>
      <w:r>
        <w:t xml:space="preserve"> Правил N 257.</w:t>
      </w:r>
    </w:p>
    <w:p w:rsidR="00E61D5B" w:rsidRDefault="00E61D5B">
      <w:pPr>
        <w:pStyle w:val="ConsPlusNormal"/>
        <w:spacing w:before="200"/>
        <w:ind w:firstLine="540"/>
        <w:jc w:val="both"/>
      </w:pPr>
      <w:bookmarkStart w:id="10" w:name="P1835"/>
      <w:bookmarkEnd w:id="10"/>
      <w:r>
        <w:t xml:space="preserve">3.14. Основаниями для внесения изменений в утвержденное согласно </w:t>
      </w:r>
      <w:hyperlink w:anchor="P1824">
        <w:r>
          <w:rPr>
            <w:color w:val="0000FF"/>
          </w:rPr>
          <w:t>пункту 3.12</w:t>
        </w:r>
      </w:hyperlink>
      <w:r>
        <w:t xml:space="preserve"> настоящего Порядка распределение субсидии являются: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отсутствие заключенного муниципального контракта в срок, указанный в соглашении;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отсутствие заключенного соглашения согласно </w:t>
      </w:r>
      <w:hyperlink r:id="rId21">
        <w:r>
          <w:rPr>
            <w:color w:val="0000FF"/>
          </w:rPr>
          <w:t>пункту 4.3</w:t>
        </w:r>
      </w:hyperlink>
      <w:r>
        <w:t xml:space="preserve"> Правил;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расторжение соглашения;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уточнение планового объема расходов на исполнение 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экономия средств субсидии по результатам заключенных муниципальных контрактов;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распределение нераспределенного объема субсидии на первый и второй годы планового периода;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изменение общего объема бюджетных ассигнований областного бюджета Ленинградской области, предусмотренного на предоставление субсидии в соответствии с </w:t>
      </w:r>
      <w:hyperlink r:id="rId22">
        <w:r>
          <w:rPr>
            <w:color w:val="0000FF"/>
          </w:rPr>
          <w:t>пунктом 3.6</w:t>
        </w:r>
      </w:hyperlink>
      <w:r>
        <w:t xml:space="preserve"> Правил N 257.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3.15. Дополнительный отбор заявок муниципальных образований производится в соответствии с </w:t>
      </w:r>
      <w:hyperlink w:anchor="P1784">
        <w:r>
          <w:rPr>
            <w:color w:val="0000FF"/>
          </w:rPr>
          <w:t>пунктами 3.2</w:t>
        </w:r>
      </w:hyperlink>
      <w:r>
        <w:t xml:space="preserve"> - </w:t>
      </w:r>
      <w:hyperlink w:anchor="P1835">
        <w:r>
          <w:rPr>
            <w:color w:val="0000FF"/>
          </w:rPr>
          <w:t>3.14</w:t>
        </w:r>
      </w:hyperlink>
      <w:r>
        <w:t xml:space="preserve"> настоящего Порядка.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3.16. Перераспределение субсидий между муниципальными образованиями осуществляется в порядке очередности по количеству набранных баллов исходя из заявок, прошедших отбор, </w:t>
      </w:r>
      <w:proofErr w:type="gramStart"/>
      <w:r>
        <w:t>и(</w:t>
      </w:r>
      <w:proofErr w:type="gramEnd"/>
      <w:r>
        <w:t>или) из заявок, прошедших дополнительный отбор.</w:t>
      </w:r>
    </w:p>
    <w:p w:rsidR="00E61D5B" w:rsidRDefault="00E61D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03.02.2023 N 77)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Title"/>
        <w:jc w:val="center"/>
        <w:outlineLvl w:val="2"/>
      </w:pPr>
      <w:r>
        <w:t>4. Порядок предоставления и расходования субсидии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Министерством финансов Российской Федерации, в срок, установленный </w:t>
      </w:r>
      <w:hyperlink r:id="rId24">
        <w:r>
          <w:rPr>
            <w:color w:val="0000FF"/>
          </w:rPr>
          <w:t>пунктом 4.3</w:t>
        </w:r>
      </w:hyperlink>
      <w:r>
        <w:t xml:space="preserve"> Правил N 257.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"Электронный бюджет".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4.2. Соглашение должно содержать установленные </w:t>
      </w:r>
      <w:hyperlink r:id="rId25">
        <w:r>
          <w:rPr>
            <w:color w:val="0000FF"/>
          </w:rPr>
          <w:t>пунктом 4.2</w:t>
        </w:r>
      </w:hyperlink>
      <w:r>
        <w:t xml:space="preserve"> Правил N 257 требования, а также требования </w:t>
      </w:r>
      <w:hyperlink r:id="rId26">
        <w:r>
          <w:rPr>
            <w:color w:val="0000FF"/>
          </w:rPr>
          <w:t>подпункта "к" пункта 8</w:t>
        </w:r>
      </w:hyperlink>
      <w:r>
        <w:t xml:space="preserve"> Правил N 1710 в отношении общественных территорий и иные условия, направленные на реализацию мероприятий по благоустройству территорий.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4.3.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после утверждения изменений в распределение субсидии.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4.4. При заключении соглашения муниципальные образования представляют в Комитет документы, установленные </w:t>
      </w:r>
      <w:hyperlink r:id="rId27">
        <w:r>
          <w:rPr>
            <w:color w:val="0000FF"/>
          </w:rPr>
          <w:t>пунктом 4.4</w:t>
        </w:r>
      </w:hyperlink>
      <w:r>
        <w:t xml:space="preserve"> Правил N 257.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4.5.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4.6. При перечислении субсидий применяются положения </w:t>
      </w:r>
      <w:hyperlink r:id="rId28">
        <w:r>
          <w:rPr>
            <w:color w:val="0000FF"/>
          </w:rPr>
          <w:t>абзаца третьего пункта 4.6</w:t>
        </w:r>
      </w:hyperlink>
      <w:r>
        <w:t xml:space="preserve"> Правил N 257, а </w:t>
      </w:r>
      <w:r>
        <w:lastRenderedPageBreak/>
        <w:t>муниципальное образование представляет Комитету документы, подтверждающие потребность в осуществлении расходов. Перечень документов, подтверждающих потребность в осуществлении расходов, устанавливается в соглашении.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4.7. </w:t>
      </w:r>
      <w:proofErr w:type="gramStart"/>
      <w:r>
        <w:t>Комитет в срок до 1 февраля года, следующего за отчетным, представляет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интернет-портале Администрации Ленинградской области в информационно-телекоммуникационной сети "Интернет".</w:t>
      </w:r>
      <w:proofErr w:type="gramEnd"/>
    </w:p>
    <w:p w:rsidR="00E61D5B" w:rsidRDefault="00E61D5B">
      <w:pPr>
        <w:pStyle w:val="ConsPlusNormal"/>
        <w:spacing w:before="200"/>
        <w:ind w:firstLine="540"/>
        <w:jc w:val="both"/>
      </w:pPr>
      <w:r>
        <w:t>4.8.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4.9. Принятие решения о подтверждении потребности в текущем году в остатке субсидии, предоставленной в отчетном году, допускается однократно в течение срока действия соглашения.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4.10.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 xml:space="preserve">4.11.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9">
        <w:r>
          <w:rPr>
            <w:color w:val="0000FF"/>
          </w:rPr>
          <w:t>разделом 5</w:t>
        </w:r>
      </w:hyperlink>
      <w:r>
        <w:t xml:space="preserve"> Правил N 257.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4.12. Обеспечение соблюдения муниципальными образованиями целей, порядка и условий предоставления субсидии (в том числе достижения ими целевых показателей результативности) осуществляется Комитетом в соответствии с бюджетным законодательством Российской Федерации.</w:t>
      </w:r>
    </w:p>
    <w:p w:rsidR="00E61D5B" w:rsidRDefault="00E61D5B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right"/>
        <w:outlineLvl w:val="2"/>
      </w:pPr>
      <w:r>
        <w:t>Приложение</w:t>
      </w:r>
    </w:p>
    <w:p w:rsidR="00E61D5B" w:rsidRDefault="00E61D5B">
      <w:pPr>
        <w:pStyle w:val="ConsPlusNormal"/>
        <w:jc w:val="right"/>
      </w:pPr>
      <w:r>
        <w:t>к Порядку...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Title"/>
        <w:jc w:val="center"/>
      </w:pPr>
      <w:bookmarkStart w:id="11" w:name="P1870"/>
      <w:bookmarkEnd w:id="11"/>
      <w:r>
        <w:t>МЕТОДИКА ОЦЕНКИ</w:t>
      </w:r>
    </w:p>
    <w:p w:rsidR="00E61D5B" w:rsidRDefault="00E61D5B">
      <w:pPr>
        <w:pStyle w:val="ConsPlusTitle"/>
        <w:jc w:val="center"/>
      </w:pPr>
      <w:r>
        <w:t>ЗАЯВОК МУНИЦИПАЛЬНЫХ ОБРАЗОВАНИЙ НА УЧАСТИЕ В ОТБОРЕ</w:t>
      </w:r>
    </w:p>
    <w:p w:rsidR="00E61D5B" w:rsidRDefault="00E61D5B">
      <w:pPr>
        <w:pStyle w:val="ConsPlusTitle"/>
        <w:jc w:val="center"/>
      </w:pPr>
      <w:r>
        <w:t>МУНИЦИПАЛЬНЫХ ОБРАЗОВАНИЙ ЛЕНИНГРАДСКОЙ ОБЛАСТИ</w:t>
      </w:r>
    </w:p>
    <w:p w:rsidR="00E61D5B" w:rsidRDefault="00E61D5B">
      <w:pPr>
        <w:pStyle w:val="ConsPlusTitle"/>
        <w:jc w:val="center"/>
      </w:pPr>
      <w:r>
        <w:t>НА ПРЕДОСТАВЛЕНИЕ СУБСИДИИ НА РЕАЛИЗАЦИЮ ПРОГРАММ</w:t>
      </w:r>
    </w:p>
    <w:p w:rsidR="00E61D5B" w:rsidRDefault="00E61D5B">
      <w:pPr>
        <w:pStyle w:val="ConsPlusTitle"/>
        <w:jc w:val="center"/>
      </w:pPr>
      <w:r>
        <w:t>ФОРМИРОВАНИЯ СОВРЕМЕННОЙ ГОРОДСКОЙ СРЕДЫ В РАМКАХ</w:t>
      </w:r>
    </w:p>
    <w:p w:rsidR="00E61D5B" w:rsidRDefault="00E61D5B">
      <w:pPr>
        <w:pStyle w:val="ConsPlusTitle"/>
        <w:jc w:val="center"/>
      </w:pPr>
      <w:r>
        <w:t>ГОСУДАРСТВЕННОЙ ПРОГРАММЫ ЛЕНИНГРАДСКОЙ ОБЛАСТИ</w:t>
      </w:r>
    </w:p>
    <w:p w:rsidR="00E61D5B" w:rsidRDefault="00E61D5B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E61D5B" w:rsidRDefault="00E61D5B">
      <w:pPr>
        <w:pStyle w:val="ConsPlusTitle"/>
        <w:jc w:val="center"/>
      </w:pPr>
      <w:r>
        <w:t>ЖИЛЬЕМ ГРАЖДАН НА ТЕРРИТОРИИ ЛЕНИНГРАДСКОЙ ОБЛАСТИ"</w:t>
      </w:r>
    </w:p>
    <w:p w:rsidR="00E61D5B" w:rsidRDefault="00E61D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8"/>
        <w:gridCol w:w="1133"/>
        <w:gridCol w:w="2098"/>
        <w:gridCol w:w="1361"/>
      </w:tblGrid>
      <w:tr w:rsidR="00E61D5B">
        <w:tc>
          <w:tcPr>
            <w:tcW w:w="510" w:type="dxa"/>
          </w:tcPr>
          <w:p w:rsidR="00E61D5B" w:rsidRDefault="00E61D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E61D5B" w:rsidRDefault="00E61D5B">
            <w:pPr>
              <w:pStyle w:val="ConsPlusNormal"/>
              <w:jc w:val="center"/>
            </w:pPr>
            <w:r>
              <w:t>Наименование критерия, характеристика (Н)</w:t>
            </w:r>
          </w:p>
        </w:tc>
        <w:tc>
          <w:tcPr>
            <w:tcW w:w="1133" w:type="dxa"/>
          </w:tcPr>
          <w:p w:rsidR="00E61D5B" w:rsidRDefault="00E61D5B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2098" w:type="dxa"/>
          </w:tcPr>
          <w:p w:rsidR="00E61D5B" w:rsidRDefault="00E61D5B">
            <w:pPr>
              <w:pStyle w:val="ConsPlusNormal"/>
              <w:jc w:val="center"/>
            </w:pPr>
            <w:r>
              <w:t>Комментарии</w:t>
            </w:r>
          </w:p>
        </w:tc>
        <w:tc>
          <w:tcPr>
            <w:tcW w:w="1361" w:type="dxa"/>
          </w:tcPr>
          <w:p w:rsidR="00E61D5B" w:rsidRDefault="00E61D5B">
            <w:pPr>
              <w:pStyle w:val="ConsPlusNormal"/>
              <w:jc w:val="center"/>
            </w:pPr>
            <w:r>
              <w:t>Значимость критерия, проц. (З)</w:t>
            </w:r>
          </w:p>
        </w:tc>
      </w:tr>
      <w:tr w:rsidR="00E61D5B">
        <w:tc>
          <w:tcPr>
            <w:tcW w:w="510" w:type="dxa"/>
          </w:tcPr>
          <w:p w:rsidR="00E61D5B" w:rsidRDefault="00E6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E61D5B" w:rsidRDefault="00E6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61D5B" w:rsidRDefault="00E6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61D5B" w:rsidRDefault="00E6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61D5B" w:rsidRDefault="00E61D5B">
            <w:pPr>
              <w:pStyle w:val="ConsPlusNormal"/>
              <w:jc w:val="center"/>
            </w:pPr>
            <w:r>
              <w:t>5</w:t>
            </w:r>
          </w:p>
        </w:tc>
      </w:tr>
      <w:tr w:rsidR="00E61D5B">
        <w:tc>
          <w:tcPr>
            <w:tcW w:w="510" w:type="dxa"/>
          </w:tcPr>
          <w:p w:rsidR="00E61D5B" w:rsidRDefault="00E6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E61D5B" w:rsidRDefault="00E61D5B">
            <w:pPr>
              <w:pStyle w:val="ConsPlusNormal"/>
            </w:pPr>
            <w:r>
              <w:t xml:space="preserve">Наличие различных элементов благоустройства (элементы озеленения, освещения, покрытия, спортивная и детская игровая инфраструктура, малые </w:t>
            </w:r>
            <w:r>
              <w:lastRenderedPageBreak/>
              <w:t>архитектурные формы, скамейки, урны, иные составные части благоустройства территории)</w:t>
            </w:r>
          </w:p>
        </w:tc>
        <w:tc>
          <w:tcPr>
            <w:tcW w:w="1133" w:type="dxa"/>
          </w:tcPr>
          <w:p w:rsidR="00E61D5B" w:rsidRDefault="00E61D5B">
            <w:pPr>
              <w:pStyle w:val="ConsPlusNormal"/>
              <w:jc w:val="center"/>
            </w:pPr>
            <w:r>
              <w:lastRenderedPageBreak/>
              <w:t>От 0 до 8 баллов</w:t>
            </w:r>
          </w:p>
        </w:tc>
        <w:tc>
          <w:tcPr>
            <w:tcW w:w="2098" w:type="dxa"/>
          </w:tcPr>
          <w:p w:rsidR="00E61D5B" w:rsidRDefault="00E61D5B">
            <w:pPr>
              <w:pStyle w:val="ConsPlusNormal"/>
            </w:pPr>
            <w:r>
              <w:t>1 балл за каждый элемент, максимум - 8 баллов</w:t>
            </w:r>
          </w:p>
        </w:tc>
        <w:tc>
          <w:tcPr>
            <w:tcW w:w="1361" w:type="dxa"/>
          </w:tcPr>
          <w:p w:rsidR="00E61D5B" w:rsidRDefault="00E61D5B">
            <w:pPr>
              <w:pStyle w:val="ConsPlusNormal"/>
              <w:jc w:val="center"/>
            </w:pPr>
            <w:r>
              <w:t>40</w:t>
            </w:r>
          </w:p>
        </w:tc>
      </w:tr>
      <w:tr w:rsidR="00E61D5B">
        <w:tc>
          <w:tcPr>
            <w:tcW w:w="510" w:type="dxa"/>
          </w:tcPr>
          <w:p w:rsidR="00E61D5B" w:rsidRDefault="00E61D5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8" w:type="dxa"/>
          </w:tcPr>
          <w:p w:rsidR="00E61D5B" w:rsidRDefault="00E61D5B">
            <w:pPr>
              <w:pStyle w:val="ConsPlusNormal"/>
            </w:pPr>
            <w:r>
              <w:t>Привлекательность территории для разных групп населения (дети дошкольного возраста, дети младшего школьного возраста, подростки, трудоспособное население, пенсионеры)</w:t>
            </w:r>
          </w:p>
        </w:tc>
        <w:tc>
          <w:tcPr>
            <w:tcW w:w="1133" w:type="dxa"/>
          </w:tcPr>
          <w:p w:rsidR="00E61D5B" w:rsidRDefault="00E61D5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2098" w:type="dxa"/>
          </w:tcPr>
          <w:p w:rsidR="00E61D5B" w:rsidRDefault="00E61D5B">
            <w:pPr>
              <w:pStyle w:val="ConsPlusNormal"/>
            </w:pPr>
            <w:r>
              <w:t>1 балл за каждую группу населения, максимум - 5 баллов</w:t>
            </w:r>
          </w:p>
        </w:tc>
        <w:tc>
          <w:tcPr>
            <w:tcW w:w="1361" w:type="dxa"/>
          </w:tcPr>
          <w:p w:rsidR="00E61D5B" w:rsidRDefault="00E61D5B">
            <w:pPr>
              <w:pStyle w:val="ConsPlusNormal"/>
              <w:jc w:val="center"/>
            </w:pPr>
            <w:r>
              <w:t>20</w:t>
            </w:r>
          </w:p>
        </w:tc>
      </w:tr>
      <w:tr w:rsidR="00E61D5B">
        <w:tc>
          <w:tcPr>
            <w:tcW w:w="510" w:type="dxa"/>
          </w:tcPr>
          <w:p w:rsidR="00E61D5B" w:rsidRDefault="00E6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E61D5B" w:rsidRDefault="00E61D5B">
            <w:pPr>
              <w:pStyle w:val="ConsPlusNormal"/>
            </w:pPr>
            <w:r>
              <w:t xml:space="preserve">Наличие </w:t>
            </w:r>
            <w:proofErr w:type="spellStart"/>
            <w:r>
              <w:t>энергоэффективного</w:t>
            </w:r>
            <w:proofErr w:type="spellEnd"/>
            <w:r>
              <w:t xml:space="preserve"> освещения общественной территории; архитектурной и художественной подсветки зданий, прилегающих к общественной территории; организации постоянного видеонаблюдения общественной территории</w:t>
            </w:r>
          </w:p>
        </w:tc>
        <w:tc>
          <w:tcPr>
            <w:tcW w:w="1133" w:type="dxa"/>
          </w:tcPr>
          <w:p w:rsidR="00E61D5B" w:rsidRDefault="00E61D5B">
            <w:pPr>
              <w:pStyle w:val="ConsPlusNormal"/>
              <w:jc w:val="center"/>
            </w:pPr>
            <w:r>
              <w:t>От 0 до 3 баллов</w:t>
            </w:r>
          </w:p>
        </w:tc>
        <w:tc>
          <w:tcPr>
            <w:tcW w:w="2098" w:type="dxa"/>
          </w:tcPr>
          <w:p w:rsidR="00E61D5B" w:rsidRDefault="00E61D5B">
            <w:pPr>
              <w:pStyle w:val="ConsPlusNormal"/>
            </w:pPr>
            <w:r>
              <w:t>1 балл за каждый элемент, максимум - 3 балла</w:t>
            </w:r>
          </w:p>
        </w:tc>
        <w:tc>
          <w:tcPr>
            <w:tcW w:w="1361" w:type="dxa"/>
          </w:tcPr>
          <w:p w:rsidR="00E61D5B" w:rsidRDefault="00E61D5B">
            <w:pPr>
              <w:pStyle w:val="ConsPlusNormal"/>
              <w:jc w:val="center"/>
            </w:pPr>
            <w:r>
              <w:t>10</w:t>
            </w:r>
          </w:p>
        </w:tc>
      </w:tr>
      <w:tr w:rsidR="00E61D5B">
        <w:tc>
          <w:tcPr>
            <w:tcW w:w="510" w:type="dxa"/>
          </w:tcPr>
          <w:p w:rsidR="00E61D5B" w:rsidRDefault="00E6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E61D5B" w:rsidRDefault="00E61D5B">
            <w:pPr>
              <w:pStyle w:val="ConsPlusNormal"/>
            </w:pPr>
            <w:r>
              <w:t>Функциональное разнообразие объекта благоустройства (зоны отдыха, спортивные и детские площадки, аллеи, парковки, пешеходные и иные зоны)</w:t>
            </w:r>
          </w:p>
        </w:tc>
        <w:tc>
          <w:tcPr>
            <w:tcW w:w="1133" w:type="dxa"/>
          </w:tcPr>
          <w:p w:rsidR="00E61D5B" w:rsidRDefault="00E61D5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2098" w:type="dxa"/>
          </w:tcPr>
          <w:p w:rsidR="00E61D5B" w:rsidRDefault="00E61D5B">
            <w:pPr>
              <w:pStyle w:val="ConsPlusNormal"/>
            </w:pPr>
            <w:r>
              <w:t>1 балл за каждую функциональную зону</w:t>
            </w:r>
          </w:p>
        </w:tc>
        <w:tc>
          <w:tcPr>
            <w:tcW w:w="1361" w:type="dxa"/>
          </w:tcPr>
          <w:p w:rsidR="00E61D5B" w:rsidRDefault="00E61D5B">
            <w:pPr>
              <w:pStyle w:val="ConsPlusNormal"/>
              <w:jc w:val="center"/>
            </w:pPr>
            <w:r>
              <w:t>30</w:t>
            </w:r>
          </w:p>
        </w:tc>
      </w:tr>
    </w:tbl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>Оценка заявок муниципальных образований осуществляется по следующей формуле: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jc w:val="center"/>
      </w:pPr>
      <w:r>
        <w:t>О = Н</w:t>
      </w:r>
      <w:proofErr w:type="gramStart"/>
      <w:r>
        <w:rPr>
          <w:vertAlign w:val="subscript"/>
        </w:rPr>
        <w:t>1</w:t>
      </w:r>
      <w:proofErr w:type="gramEnd"/>
      <w:r>
        <w:t xml:space="preserve"> x З</w:t>
      </w:r>
      <w:r>
        <w:rPr>
          <w:vertAlign w:val="subscript"/>
        </w:rPr>
        <w:t>1</w:t>
      </w:r>
      <w:r>
        <w:t xml:space="preserve"> + Н</w:t>
      </w:r>
      <w:r>
        <w:rPr>
          <w:vertAlign w:val="subscript"/>
        </w:rPr>
        <w:t>2</w:t>
      </w:r>
      <w:r>
        <w:t xml:space="preserve"> x З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3</w:t>
      </w:r>
      <w:r>
        <w:t xml:space="preserve"> x З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4</w:t>
      </w:r>
      <w:r>
        <w:t xml:space="preserve"> x З</w:t>
      </w:r>
      <w:r>
        <w:rPr>
          <w:vertAlign w:val="subscript"/>
        </w:rPr>
        <w:t>4</w:t>
      </w:r>
      <w:r>
        <w:t>,</w:t>
      </w:r>
    </w:p>
    <w:p w:rsidR="00E61D5B" w:rsidRDefault="00E61D5B">
      <w:pPr>
        <w:pStyle w:val="ConsPlusNormal"/>
        <w:jc w:val="both"/>
      </w:pPr>
    </w:p>
    <w:p w:rsidR="00E61D5B" w:rsidRDefault="00E61D5B">
      <w:pPr>
        <w:pStyle w:val="ConsPlusNormal"/>
        <w:ind w:firstLine="540"/>
        <w:jc w:val="both"/>
      </w:pPr>
      <w:r>
        <w:t>где: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О - итоговая оценка;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Н</w:t>
      </w:r>
      <w:proofErr w:type="gramStart"/>
      <w:r>
        <w:rPr>
          <w:vertAlign w:val="subscript"/>
        </w:rPr>
        <w:t>1</w:t>
      </w:r>
      <w:proofErr w:type="gramEnd"/>
      <w:r>
        <w:t>, Н</w:t>
      </w:r>
      <w:r>
        <w:rPr>
          <w:vertAlign w:val="subscript"/>
        </w:rPr>
        <w:t>2</w:t>
      </w:r>
      <w:r>
        <w:t>, Н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4</w:t>
      </w:r>
      <w:r>
        <w:t xml:space="preserve"> - балльная оценка по соответствующему критерию;</w:t>
      </w:r>
    </w:p>
    <w:p w:rsidR="00E61D5B" w:rsidRDefault="00E61D5B">
      <w:pPr>
        <w:pStyle w:val="ConsPlusNormal"/>
        <w:spacing w:before="200"/>
        <w:ind w:firstLine="540"/>
        <w:jc w:val="both"/>
      </w:pPr>
      <w:r>
        <w:t>З</w:t>
      </w:r>
      <w:proofErr w:type="gramStart"/>
      <w:r>
        <w:rPr>
          <w:vertAlign w:val="subscript"/>
        </w:rPr>
        <w:t>1</w:t>
      </w:r>
      <w:proofErr w:type="gramEnd"/>
      <w:r>
        <w:t>, З</w:t>
      </w:r>
      <w:r>
        <w:rPr>
          <w:vertAlign w:val="subscript"/>
        </w:rPr>
        <w:t>2</w:t>
      </w:r>
      <w:r>
        <w:t>, З</w:t>
      </w:r>
      <w:r>
        <w:rPr>
          <w:vertAlign w:val="subscript"/>
        </w:rPr>
        <w:t>3</w:t>
      </w:r>
      <w:r>
        <w:t>, З</w:t>
      </w:r>
      <w:r>
        <w:rPr>
          <w:vertAlign w:val="subscript"/>
        </w:rPr>
        <w:t>4</w:t>
      </w:r>
      <w:r>
        <w:t xml:space="preserve"> - значимость соответствующего критерия.</w:t>
      </w:r>
    </w:p>
    <w:p w:rsidR="00E61D5B" w:rsidRDefault="00E61D5B">
      <w:pPr>
        <w:pStyle w:val="ConsPlusNormal"/>
        <w:spacing w:before="200"/>
        <w:ind w:firstLine="540"/>
        <w:jc w:val="both"/>
      </w:pPr>
    </w:p>
    <w:p w:rsidR="00E61D5B" w:rsidRDefault="00E61D5B" w:rsidP="00E61D5B">
      <w:pPr>
        <w:pStyle w:val="ConsPlusNormal"/>
      </w:pPr>
      <w:hyperlink r:id="rId30">
        <w:r>
          <w:rPr>
            <w:i/>
            <w:color w:val="0000FF"/>
          </w:rPr>
          <w:br/>
          <w:t xml:space="preserve">Постановление Правительства Ленинградской области от 14.11.2013 N 407 (ред. от </w:t>
        </w:r>
        <w:r>
          <w:rPr>
            <w:i/>
            <w:color w:val="0000FF"/>
          </w:rPr>
          <w:t>28.08</w:t>
        </w:r>
        <w:r>
          <w:rPr>
            <w:i/>
            <w:color w:val="0000FF"/>
          </w:rPr>
          <w:t>.202</w:t>
        </w:r>
        <w:r>
          <w:rPr>
            <w:i/>
            <w:color w:val="0000FF"/>
          </w:rPr>
          <w:t>3</w:t>
        </w:r>
        <w:r>
          <w:rPr>
            <w:i/>
            <w:color w:val="0000FF"/>
          </w:rPr>
          <w:t>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bookmarkStart w:id="12" w:name="_GoBack"/>
      <w:bookmarkEnd w:id="12"/>
    </w:p>
    <w:p w:rsidR="00E61D5B" w:rsidRDefault="00E61D5B">
      <w:pPr>
        <w:pStyle w:val="ConsPlusNormal"/>
        <w:spacing w:before="200"/>
        <w:ind w:firstLine="540"/>
        <w:jc w:val="both"/>
      </w:pPr>
    </w:p>
    <w:sectPr w:rsidR="00E61D5B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B"/>
    <w:rsid w:val="00B932C9"/>
    <w:rsid w:val="00E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1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1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1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1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1D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1D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1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1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1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1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1D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1D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1D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1D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2172018F1F0062C30C10AF440EBB74AF260872F8485D3B29F6CCC8B3DB612A04CD43435215964230BA9B8911CFEFB040DD816A39FvFb2G" TargetMode="External"/><Relationship Id="rId13" Type="http://schemas.openxmlformats.org/officeDocument/2006/relationships/hyperlink" Target="consultantplus://offline/ref=8922172018F1F0062C30DE1BE140EBB74CF16C842A8C85D3B29F6CCC8B3DB612A04CD43435215D6C7151B9BCD84BF3E70511C716BD9FF192vAb0G" TargetMode="External"/><Relationship Id="rId18" Type="http://schemas.openxmlformats.org/officeDocument/2006/relationships/hyperlink" Target="consultantplus://offline/ref=8922172018F1F0062C30C10AF440EBB74AF26781248C85D3B29F6CCC8B3DB612A04CD43435255264230BA9B8911CFEFB040DD816A39FvFb2G" TargetMode="External"/><Relationship Id="rId26" Type="http://schemas.openxmlformats.org/officeDocument/2006/relationships/hyperlink" Target="consultantplus://offline/ref=8922172018F1F0062C30C10AF440EBB74AF26781248C85D3B29F6CCC8B3DB612A04CD4373C215B64230BA9B8911CFEFB040DD816A39FvFb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22172018F1F0062C30DE1BE140EBB74CF16C842A8C85D3B29F6CCC8B3DB612A04CD43435215D6B7651B9BCD84BF3E70511C716BD9FF192vAb0G" TargetMode="External"/><Relationship Id="rId7" Type="http://schemas.openxmlformats.org/officeDocument/2006/relationships/hyperlink" Target="consultantplus://offline/ref=8922172018F1F0062C30C10AF440EBB74AF260872F8485D3B29F6CCC8B3DB612A04CD43C3C27503B261EB8E09E1EE0E40711C414A1v9bEG" TargetMode="External"/><Relationship Id="rId12" Type="http://schemas.openxmlformats.org/officeDocument/2006/relationships/hyperlink" Target="consultantplus://offline/ref=8922172018F1F0062C30DE1BE140EBB74CF16C8D258F85D3B29F6CCC8B3DB612A04CD43435215B6E7151B9BCD84BF3E70511C716BD9FF192vAb0G" TargetMode="External"/><Relationship Id="rId17" Type="http://schemas.openxmlformats.org/officeDocument/2006/relationships/hyperlink" Target="consultantplus://offline/ref=8922172018F1F0062C30C10AF440EBB74AF26781248C85D3B29F6CCC8B3DB612A04CD43435235964230BA9B8911CFEFB040DD816A39FvFb2G" TargetMode="External"/><Relationship Id="rId25" Type="http://schemas.openxmlformats.org/officeDocument/2006/relationships/hyperlink" Target="consultantplus://offline/ref=8922172018F1F0062C30DE1BE140EBB74CF16C842A8C85D3B29F6CCC8B3DB612A04CD43435215E6D7451B9BCD84BF3E70511C716BD9FF192vAb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22172018F1F0062C30C10AF440EBB74AF26781248C85D3B29F6CCC8B3DB612A04CD4373C255F64230BA9B8911CFEFB040DD816A39FvFb2G" TargetMode="External"/><Relationship Id="rId20" Type="http://schemas.openxmlformats.org/officeDocument/2006/relationships/hyperlink" Target="consultantplus://offline/ref=8922172018F1F0062C30DE1BE140EBB74CF16C842A8C85D3B29F6CCC8B3DB612A04CD43435215D6A7E51B9BCD84BF3E70511C716BD9FF192vAb0G" TargetMode="External"/><Relationship Id="rId29" Type="http://schemas.openxmlformats.org/officeDocument/2006/relationships/hyperlink" Target="consultantplus://offline/ref=8922172018F1F0062C30DE1BE140EBB74CF16C842A8C85D3B29F6CCC8B3DB612A04CD43435215E6B7051B9BCD84BF3E70511C716BD9FF192vA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2172018F1F0062C30DE1BE140EBB74CF16C8D258F85D3B29F6CCC8B3DB612A04CD43435215B6E7351B9BCD84BF3E70511C716BD9FF192vAb0G" TargetMode="External"/><Relationship Id="rId11" Type="http://schemas.openxmlformats.org/officeDocument/2006/relationships/hyperlink" Target="consultantplus://offline/ref=8922172018F1F0062C30DE1BE140EBB74CF16C8D258F85D3B29F6CCC8B3DB612A04CD43435215B6E7251B9BCD84BF3E70511C716BD9FF192vAb0G" TargetMode="External"/><Relationship Id="rId24" Type="http://schemas.openxmlformats.org/officeDocument/2006/relationships/hyperlink" Target="consultantplus://offline/ref=8922172018F1F0062C30DE1BE140EBB74CF16C842A8C85D3B29F6CCC8B3DB612A04CD43435215D6B7651B9BCD84BF3E70511C716BD9FF192vAb0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922172018F1F0062C30DE1BE140EBB74CF16486288A85D3B29F6CCC8B3DB612A04CD43435215B6F7251B9BCD84BF3E70511C716BD9FF192vAb0G" TargetMode="External"/><Relationship Id="rId15" Type="http://schemas.openxmlformats.org/officeDocument/2006/relationships/hyperlink" Target="consultantplus://offline/ref=8922172018F1F0062C30C10AF440EBB74AF26781248C85D3B29F6CCC8B3DB612A04CD43435225264230BA9B8911CFEFB040DD816A39FvFb2G" TargetMode="External"/><Relationship Id="rId23" Type="http://schemas.openxmlformats.org/officeDocument/2006/relationships/hyperlink" Target="consultantplus://offline/ref=8922172018F1F0062C30DE1BE140EBB74CF16C8D258F85D3B29F6CCC8B3DB612A04CD43435215B6E7051B9BCD84BF3E70511C716BD9FF192vAb0G" TargetMode="External"/><Relationship Id="rId28" Type="http://schemas.openxmlformats.org/officeDocument/2006/relationships/hyperlink" Target="consultantplus://offline/ref=8922172018F1F0062C30DE1BE140EBB74CF16C842A8C85D3B29F6CCC8B3DB612A04CD43435215D6A7351B9BCD84BF3E70511C716BD9FF192vAb0G" TargetMode="External"/><Relationship Id="rId10" Type="http://schemas.openxmlformats.org/officeDocument/2006/relationships/hyperlink" Target="consultantplus://offline/ref=8922172018F1F0062C30C10AF440EBB74AF26781248C85D3B29F6CCC8B3DB612A04CD4373D205364230BA9B8911CFEFB040DD816A39FvFb2G" TargetMode="External"/><Relationship Id="rId19" Type="http://schemas.openxmlformats.org/officeDocument/2006/relationships/hyperlink" Target="consultantplus://offline/ref=8922172018F1F0062C30DE1BE140EBB74CF16486288A85D3B29F6CCC8B3DB612A04CD43435215B6F7251B9BCD84BF3E70511C716BD9FF192vAb0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2172018F1F0062C30C10AF440EBB74AF26781248C85D3B29F6CCC8B3DB612A04CD43431265E64230BA9B8911CFEFB040DD816A39FvFb2G" TargetMode="External"/><Relationship Id="rId14" Type="http://schemas.openxmlformats.org/officeDocument/2006/relationships/hyperlink" Target="consultantplus://offline/ref=8922172018F1F0062C30DE1BE140EBB74CF16C842A8C85D3B29F6CCC8B3DB612A04CD43435215E6C7F51B9BCD84BF3E70511C716BD9FF192vAb0G" TargetMode="External"/><Relationship Id="rId22" Type="http://schemas.openxmlformats.org/officeDocument/2006/relationships/hyperlink" Target="consultantplus://offline/ref=8922172018F1F0062C30DE1BE140EBB74CF16C842A8C85D3B29F6CCC8B3DB612A04CD43435215D6C7251B9BCD84BF3E70511C716BD9FF192vAb0G" TargetMode="External"/><Relationship Id="rId27" Type="http://schemas.openxmlformats.org/officeDocument/2006/relationships/hyperlink" Target="consultantplus://offline/ref=8922172018F1F0062C30DE1BE140EBB74CF16C842A8C85D3B29F6CCC8B3DB612A04CD43435215E6C7F51B9BCD84BF3E70511C716BD9FF192vAb0G" TargetMode="External"/><Relationship Id="rId30" Type="http://schemas.openxmlformats.org/officeDocument/2006/relationships/hyperlink" Target="consultantplus://offline/ref=99A59CC85102A4AD967450F08CA50A0BCAACC6AF45EA6BE6CF5551D943A01AB334E8B84B3E8873AB52D59AE31933FE34F11256BEFE753C387E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Сергеевна Прокопенко</dc:creator>
  <cp:lastModifiedBy>Елизавета Сергеевна Прокопенко</cp:lastModifiedBy>
  <cp:revision>1</cp:revision>
  <dcterms:created xsi:type="dcterms:W3CDTF">2023-12-20T06:27:00Z</dcterms:created>
  <dcterms:modified xsi:type="dcterms:W3CDTF">2023-12-20T06:32:00Z</dcterms:modified>
</cp:coreProperties>
</file>