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1D" w:rsidRDefault="00DB011D">
      <w:pPr>
        <w:pStyle w:val="ConsPlusNormal"/>
        <w:jc w:val="right"/>
        <w:outlineLvl w:val="1"/>
      </w:pPr>
      <w:r>
        <w:t>Приложение 11</w:t>
      </w:r>
    </w:p>
    <w:p w:rsidR="00DB011D" w:rsidRDefault="00DB011D">
      <w:pPr>
        <w:pStyle w:val="ConsPlusNormal"/>
        <w:jc w:val="right"/>
      </w:pPr>
      <w:r>
        <w:t>к государственной программе...</w:t>
      </w:r>
    </w:p>
    <w:p w:rsidR="00DB011D" w:rsidRDefault="00DB011D">
      <w:pPr>
        <w:pStyle w:val="ConsPlusNormal"/>
        <w:jc w:val="center"/>
      </w:pPr>
    </w:p>
    <w:p w:rsidR="00DB011D" w:rsidRDefault="00DB011D">
      <w:pPr>
        <w:pStyle w:val="ConsPlusTitle"/>
        <w:jc w:val="center"/>
      </w:pPr>
      <w:bookmarkStart w:id="0" w:name="P3413"/>
      <w:bookmarkEnd w:id="0"/>
      <w:r>
        <w:t>ПОРЯДОК</w:t>
      </w:r>
    </w:p>
    <w:p w:rsidR="00DB011D" w:rsidRDefault="00DB011D">
      <w:pPr>
        <w:pStyle w:val="ConsPlusTitle"/>
        <w:jc w:val="center"/>
      </w:pPr>
      <w:r>
        <w:t xml:space="preserve">ПРЕДОСТАВЛЕНИЯ И РАСПРЕДЕЛЕНИЯ СУБСИДИИ </w:t>
      </w:r>
      <w:proofErr w:type="gramStart"/>
      <w:r>
        <w:t>ИЗ</w:t>
      </w:r>
      <w:proofErr w:type="gramEnd"/>
      <w:r>
        <w:t xml:space="preserve"> ОБЛАСТНОГО</w:t>
      </w:r>
    </w:p>
    <w:p w:rsidR="00DB011D" w:rsidRDefault="00DB011D">
      <w:pPr>
        <w:pStyle w:val="ConsPlusTitle"/>
        <w:jc w:val="center"/>
      </w:pPr>
      <w:r>
        <w:t xml:space="preserve">БЮДЖЕТА ЛЕНИНГРАДСКОЙ ОБЛАСТИ БЮДЖЕТАМ </w:t>
      </w:r>
      <w:proofErr w:type="gramStart"/>
      <w:r>
        <w:t>МУНИЦИПАЛЬНЫХ</w:t>
      </w:r>
      <w:proofErr w:type="gramEnd"/>
    </w:p>
    <w:p w:rsidR="00DB011D" w:rsidRDefault="00DB011D">
      <w:pPr>
        <w:pStyle w:val="ConsPlusTitle"/>
        <w:jc w:val="center"/>
      </w:pPr>
      <w:r>
        <w:t>ОБРАЗОВАНИЙ ЛЕНИНГРАДСКОЙ ОБЛАСТИ НА ПРИОБРЕТЕНИЕ</w:t>
      </w:r>
    </w:p>
    <w:p w:rsidR="00DB011D" w:rsidRDefault="00DB011D">
      <w:pPr>
        <w:pStyle w:val="ConsPlusTitle"/>
        <w:jc w:val="center"/>
      </w:pPr>
      <w:r>
        <w:t>КОММУНАЛЬНОЙ СПЕЦТЕХНИКИ И ОБОРУДОВАНИЯ В ЛИЗИНГ (СУБЛИЗИНГ)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Title"/>
        <w:jc w:val="center"/>
        <w:outlineLvl w:val="2"/>
      </w:pPr>
      <w:r>
        <w:t>1. Общие положения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устанавливает цели,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 (далее - муниципальные образования) на приобретение коммунальной спецтехники и оборудования в лизинг (</w:t>
      </w:r>
      <w:proofErr w:type="spellStart"/>
      <w:r>
        <w:t>сублизинг</w:t>
      </w:r>
      <w:proofErr w:type="spellEnd"/>
      <w:r>
        <w:t xml:space="preserve">) в рамках подпрограммы "Обеспечение устойчивого функционирования коммунальной и инженерной инфраструктуры"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</w:t>
      </w:r>
      <w:proofErr w:type="spellStart"/>
      <w:r>
        <w:t>энергоэффективности</w:t>
      </w:r>
      <w:proofErr w:type="spellEnd"/>
      <w:r>
        <w:t xml:space="preserve"> в Ленинградской области</w:t>
      </w:r>
      <w:proofErr w:type="gramEnd"/>
      <w:r>
        <w:t>" (далее - субсидия).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 xml:space="preserve">1.2. </w:t>
      </w:r>
      <w:proofErr w:type="gramStart"/>
      <w:r>
        <w:t xml:space="preserve">Субсидия предоставляется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 в соответствии с </w:t>
      </w:r>
      <w:hyperlink r:id="rId5" w:history="1">
        <w:r>
          <w:rPr>
            <w:color w:val="0000FF"/>
          </w:rPr>
          <w:t>пунктами 4</w:t>
        </w:r>
      </w:hyperlink>
      <w:r>
        <w:t xml:space="preserve">, </w:t>
      </w:r>
      <w:hyperlink r:id="rId6" w:history="1">
        <w:r>
          <w:rPr>
            <w:color w:val="0000FF"/>
          </w:rPr>
          <w:t>18</w:t>
        </w:r>
      </w:hyperlink>
      <w:r>
        <w:t xml:space="preserve">, </w:t>
      </w:r>
      <w:hyperlink r:id="rId7" w:history="1">
        <w:r>
          <w:rPr>
            <w:color w:val="0000FF"/>
          </w:rPr>
          <w:t>19 части 1 статьи 14</w:t>
        </w:r>
      </w:hyperlink>
      <w:r>
        <w:t xml:space="preserve">, </w:t>
      </w:r>
      <w:hyperlink r:id="rId8" w:history="1">
        <w:r>
          <w:rPr>
            <w:color w:val="0000FF"/>
          </w:rPr>
          <w:t>пунктами 4</w:t>
        </w:r>
      </w:hyperlink>
      <w:r>
        <w:t xml:space="preserve">, </w:t>
      </w:r>
      <w:hyperlink r:id="rId9" w:history="1">
        <w:r>
          <w:rPr>
            <w:color w:val="0000FF"/>
          </w:rPr>
          <w:t>14 части 1 статьи 15</w:t>
        </w:r>
      </w:hyperlink>
      <w:r>
        <w:t xml:space="preserve">, </w:t>
      </w:r>
      <w:hyperlink r:id="rId10" w:history="1">
        <w:r>
          <w:rPr>
            <w:color w:val="0000FF"/>
          </w:rPr>
          <w:t>пунктами 4</w:t>
        </w:r>
      </w:hyperlink>
      <w:r>
        <w:t xml:space="preserve">, </w:t>
      </w:r>
      <w:hyperlink r:id="rId11" w:history="1">
        <w:r>
          <w:rPr>
            <w:color w:val="0000FF"/>
          </w:rPr>
          <w:t>24</w:t>
        </w:r>
      </w:hyperlink>
      <w:r>
        <w:t xml:space="preserve">, </w:t>
      </w:r>
      <w:hyperlink r:id="rId12" w:history="1">
        <w:r>
          <w:rPr>
            <w:color w:val="0000FF"/>
          </w:rPr>
          <w:t>25 части 1 статьи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</w:t>
      </w:r>
      <w:proofErr w:type="gramEnd"/>
      <w:r>
        <w:t xml:space="preserve"> в Российской Федерации".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1.3. Предоставление субсидии осуществляется в соответствии со сводной бюджетной росписью областного бюджета на очередной (текущий)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жилищно-коммунальному хозяйству Ленинградской области (далее - Комитет).</w:t>
      </w:r>
    </w:p>
    <w:p w:rsidR="00DB011D" w:rsidRDefault="00DB011D">
      <w:pPr>
        <w:pStyle w:val="ConsPlusNormal"/>
        <w:jc w:val="center"/>
      </w:pPr>
    </w:p>
    <w:p w:rsidR="00DB011D" w:rsidRDefault="00DB011D">
      <w:pPr>
        <w:pStyle w:val="ConsPlusTitle"/>
        <w:jc w:val="center"/>
        <w:outlineLvl w:val="2"/>
      </w:pPr>
      <w:r>
        <w:t>2. Цели и условия предоставления субсидии, критерии отбора</w:t>
      </w:r>
    </w:p>
    <w:p w:rsidR="00DB011D" w:rsidRDefault="00DB011D">
      <w:pPr>
        <w:pStyle w:val="ConsPlusTitle"/>
        <w:jc w:val="center"/>
      </w:pPr>
      <w:r>
        <w:t>муниципальных образований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  <w:r>
        <w:t>2.1. Субсидия предоставляется бюджетам муниципальных образований в целях исполнения обязательств муниципального образования по уплате очередных лизинговых платежей (кроме первоначального взноса) по договорам лизинга, предусматривающим предоставление коммунальной спецтехники и оборудования.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Субсидия предоставляется на осуществление очередных лизинговых платежей (за исключением первоначального лизингового взноса) по договорам, заключенным не ранее 2012 года, в части обновления парка коммунальной спецтехники и оборудования, необходимых для оказания жилищно-коммунальных услуг населению и благоустройства территории, в размере не более 50</w:t>
      </w:r>
      <w:proofErr w:type="gramStart"/>
      <w:r>
        <w:t xml:space="preserve"> П</w:t>
      </w:r>
      <w:proofErr w:type="gramEnd"/>
      <w:r>
        <w:t>роц. от объема общей потребности очередных лизинговых платежей.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2.2. Результатом использования субсидии является процент исполнения обязательств муниципального образования по уплате очередных лизинговых платежей (кроме первоначального взноса) по договорам лизинга, предусматривающим предоставление коммунальной спецтехники и оборудования.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Значения результата использования субсидии, ожидаемые к достижению за весь срок предоставления субсидии, определяются в соответствии с заявками муниципальных образований.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Детализированные требования к достижению значений результатов использования субсидии устанавливаются в соглашении о предоставлении субсидии, которое заключается между Комитетом и администрацией муниципального образования (далее - соглашение).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 xml:space="preserve">2.3. Условия предоставления субсидии устанавливаются в соответствии с </w:t>
      </w:r>
      <w:hyperlink r:id="rId13" w:history="1">
        <w:r>
          <w:rPr>
            <w:color w:val="0000FF"/>
          </w:rPr>
          <w:t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DB011D" w:rsidRDefault="00DB011D">
      <w:pPr>
        <w:pStyle w:val="ConsPlusNormal"/>
        <w:spacing w:before="200"/>
        <w:ind w:firstLine="540"/>
        <w:jc w:val="both"/>
      </w:pPr>
      <w:bookmarkStart w:id="1" w:name="P3434"/>
      <w:bookmarkEnd w:id="1"/>
      <w:r>
        <w:lastRenderedPageBreak/>
        <w:t>2.4. Критерии, которым должны соответствовать муниципальные образования для предоставления субсидии: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а) наличие муниципальной программы, предусматривающей мероприятия, соответствующие целям подпрограммы;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б) наличие действующего в году предоставления субсидии договора лизинга (</w:t>
      </w:r>
      <w:proofErr w:type="spellStart"/>
      <w:r>
        <w:t>сублизинга</w:t>
      </w:r>
      <w:proofErr w:type="spellEnd"/>
      <w:r>
        <w:t>) на приобретение коммунальной спецтехники и оборудования;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в) отсутствие задолженности по лизинговым платежам по представленным договорам лизинга (</w:t>
      </w:r>
      <w:proofErr w:type="spellStart"/>
      <w:r>
        <w:t>сублизинга</w:t>
      </w:r>
      <w:proofErr w:type="spellEnd"/>
      <w:r>
        <w:t>) на первое число месяца подачи муниципальным образованием заявки о предоставлении субсидии.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Title"/>
        <w:jc w:val="center"/>
        <w:outlineLvl w:val="2"/>
      </w:pPr>
      <w:r>
        <w:t>3. Порядок отбора муниципальных образований</w:t>
      </w:r>
    </w:p>
    <w:p w:rsidR="00DB011D" w:rsidRDefault="00DB011D">
      <w:pPr>
        <w:pStyle w:val="ConsPlusTitle"/>
        <w:jc w:val="center"/>
      </w:pPr>
      <w:r>
        <w:t>и распределения субсидии</w:t>
      </w:r>
    </w:p>
    <w:p w:rsidR="00DB011D" w:rsidRDefault="00DB011D">
      <w:pPr>
        <w:pStyle w:val="ConsPlusNormal"/>
        <w:jc w:val="center"/>
      </w:pPr>
    </w:p>
    <w:p w:rsidR="00DB011D" w:rsidRDefault="00DB011D">
      <w:pPr>
        <w:pStyle w:val="ConsPlusNormal"/>
        <w:ind w:firstLine="540"/>
        <w:jc w:val="both"/>
      </w:pPr>
      <w:bookmarkStart w:id="2" w:name="P3442"/>
      <w:bookmarkEnd w:id="2"/>
      <w:r>
        <w:t>3.1. Муниципальные образования с 12 мая по 11 июня года, предшествующего году предоставления субсидий, для проведения отбора представляют в Комитет заявку по форме, утвержденной нормативным правовым актом Комитета.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К заявке прилагаются следующие документы: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копия договора на приобретение коммунальной спецтехники и оборудования в лизинг (</w:t>
      </w:r>
      <w:proofErr w:type="spellStart"/>
      <w:r>
        <w:t>сублизинг</w:t>
      </w:r>
      <w:proofErr w:type="spellEnd"/>
      <w:r>
        <w:t>), заверенная подписью главы администрации муниципального образования и печатью администрации муниципального образования;</w:t>
      </w:r>
    </w:p>
    <w:p w:rsidR="00DB011D" w:rsidRDefault="00DB011D">
      <w:pPr>
        <w:pStyle w:val="ConsPlusNormal"/>
        <w:spacing w:before="200"/>
        <w:ind w:firstLine="540"/>
        <w:jc w:val="both"/>
      </w:pPr>
      <w:proofErr w:type="gramStart"/>
      <w:r>
        <w:t xml:space="preserve">выписка из бюджета муниципального образования, подтверждающая наличие в бюджете муниципального образования средств для </w:t>
      </w:r>
      <w:proofErr w:type="spellStart"/>
      <w:r>
        <w:t>софинансирования</w:t>
      </w:r>
      <w:proofErr w:type="spellEnd"/>
      <w:r>
        <w:t xml:space="preserve"> уплаты очередных лизинговых платежей по договорам на приобретение коммунальной спецтехники и оборудования в лизинг (</w:t>
      </w:r>
      <w:proofErr w:type="spellStart"/>
      <w:r>
        <w:t>сублизинг</w:t>
      </w:r>
      <w:proofErr w:type="spellEnd"/>
      <w:r>
        <w:t xml:space="preserve">), или гарантия муниципального образования о </w:t>
      </w:r>
      <w:proofErr w:type="spellStart"/>
      <w:r>
        <w:t>предусмотрении</w:t>
      </w:r>
      <w:proofErr w:type="spellEnd"/>
      <w:r>
        <w:t xml:space="preserve"> средств в бюджете, заверенные подписью главы администрации муниципального образования и руководителем финансового органа муниципального образования, а также печатью администрации муниципального образования;</w:t>
      </w:r>
      <w:proofErr w:type="gramEnd"/>
    </w:p>
    <w:p w:rsidR="00DB011D" w:rsidRDefault="00DB011D">
      <w:pPr>
        <w:pStyle w:val="ConsPlusNormal"/>
        <w:spacing w:before="200"/>
        <w:ind w:firstLine="540"/>
        <w:jc w:val="both"/>
      </w:pPr>
      <w:r>
        <w:t>справка от лизингодателя (</w:t>
      </w:r>
      <w:proofErr w:type="spellStart"/>
      <w:r>
        <w:t>сублизингодателя</w:t>
      </w:r>
      <w:proofErr w:type="spellEnd"/>
      <w:r>
        <w:t>) об отсутствии задолженности по лизинговым платежам по представленным договорам лизинга (</w:t>
      </w:r>
      <w:proofErr w:type="spellStart"/>
      <w:r>
        <w:t>сублизинга</w:t>
      </w:r>
      <w:proofErr w:type="spellEnd"/>
      <w:r>
        <w:t>) на первое число месяца подачи муниципальным образованием заявки;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 xml:space="preserve">копия муниципальной программы, предусматривающей мероприятия, соответствующие целям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</w:t>
      </w:r>
      <w:proofErr w:type="spellStart"/>
      <w:r>
        <w:t>энергоэффективности</w:t>
      </w:r>
      <w:proofErr w:type="spellEnd"/>
      <w:r>
        <w:t xml:space="preserve"> в Ленинградской области", утвержденной муниципальным правовым актом, заверенная подписью главы администрации муниципального образования.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3.2. Отбор муниципальных образований осуществляется в году, предшествующем году предоставления субсидии. Датой представления заявки является дата регистрации заявки в Комитете. Заявки, представленные после истечения срока приема заявок, к рассмотрению не принимаются.</w:t>
      </w:r>
    </w:p>
    <w:p w:rsidR="00DB011D" w:rsidRDefault="00DB011D">
      <w:pPr>
        <w:pStyle w:val="ConsPlusNormal"/>
        <w:spacing w:before="200"/>
        <w:ind w:firstLine="540"/>
        <w:jc w:val="both"/>
      </w:pPr>
      <w:bookmarkStart w:id="3" w:name="P3449"/>
      <w:bookmarkEnd w:id="3"/>
      <w:r>
        <w:t>3.3. Для отбора муниципальных образований Комитетом создается комиссия, положение и состав которой утверждаются правовым актом Комитета.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 xml:space="preserve">3.4. Основанием для отказа в предоставлении субсидии является несоответствие муниципального образования критериям, установленным </w:t>
      </w:r>
      <w:hyperlink w:anchor="P3434" w:history="1">
        <w:r>
          <w:rPr>
            <w:color w:val="0000FF"/>
          </w:rPr>
          <w:t>пунктом 2.4</w:t>
        </w:r>
      </w:hyperlink>
      <w:r>
        <w:t xml:space="preserve"> настоящего Порядка, представление муниципальным образованием документов, указанных в </w:t>
      </w:r>
      <w:hyperlink w:anchor="P3442" w:history="1">
        <w:r>
          <w:rPr>
            <w:color w:val="0000FF"/>
          </w:rPr>
          <w:t>пункте 3.1</w:t>
        </w:r>
      </w:hyperlink>
      <w:r>
        <w:t xml:space="preserve"> настоящего Порядка, не соответствующих требованиям, установленным настоящим Порядком, </w:t>
      </w:r>
      <w:proofErr w:type="gramStart"/>
      <w:r>
        <w:t>и(</w:t>
      </w:r>
      <w:proofErr w:type="gramEnd"/>
      <w:r>
        <w:t xml:space="preserve">или) представление документов не в полном объеме, а также подача заявки с нарушением срока, установленного в соответствии с </w:t>
      </w:r>
      <w:hyperlink w:anchor="P3442" w:history="1">
        <w:r>
          <w:rPr>
            <w:color w:val="0000FF"/>
          </w:rPr>
          <w:t>пунктом 3.1</w:t>
        </w:r>
      </w:hyperlink>
      <w:r>
        <w:t xml:space="preserve"> настоящего Порядка.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 xml:space="preserve">3.5. Срок проведения заседания комиссии, указанной в </w:t>
      </w:r>
      <w:hyperlink w:anchor="P3449" w:history="1">
        <w:r>
          <w:rPr>
            <w:color w:val="0000FF"/>
          </w:rPr>
          <w:t>пункте 3.3</w:t>
        </w:r>
      </w:hyperlink>
      <w:r>
        <w:t xml:space="preserve"> настоящего Порядка, - не позднее 15 рабочих дней </w:t>
      </w:r>
      <w:proofErr w:type="gramStart"/>
      <w:r>
        <w:t>с даты окончания</w:t>
      </w:r>
      <w:proofErr w:type="gramEnd"/>
      <w:r>
        <w:t xml:space="preserve"> срока приема заявок.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3.6. Ответственность за достоверность представленных документов несут администрации муниципальных образований.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lastRenderedPageBreak/>
        <w:t xml:space="preserve">3.7. Решение о предоставлении (отказе в предоставлении) субсидии и объеме предоставляемой субсидии муниципальным образованиям принимается Комитетом на основании протокола заседания комиссии и оформляется распоряжением Комитета в течение пяти рабочих дней </w:t>
      </w:r>
      <w:proofErr w:type="gramStart"/>
      <w:r>
        <w:t>с даты заседания</w:t>
      </w:r>
      <w:proofErr w:type="gramEnd"/>
      <w:r>
        <w:t xml:space="preserve"> комиссии.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3.8.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3.9. Распределение субсидии осуществляется исходя из расчетного объема средств, необходимого для достижения значений результатов использования субсидии, по формуле: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jc w:val="center"/>
      </w:pPr>
      <w:proofErr w:type="spellStart"/>
      <w:r>
        <w:t>С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= </w:t>
      </w: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УС</w:t>
      </w:r>
      <w:r>
        <w:rPr>
          <w:vertAlign w:val="subscript"/>
        </w:rPr>
        <w:t>i</w:t>
      </w:r>
      <w:proofErr w:type="spellEnd"/>
      <w:r>
        <w:t>,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  <w:r>
        <w:t>где:</w:t>
      </w:r>
    </w:p>
    <w:p w:rsidR="00DB011D" w:rsidRDefault="00DB011D">
      <w:pPr>
        <w:pStyle w:val="ConsPlusNormal"/>
        <w:spacing w:before="200"/>
        <w:ind w:firstLine="540"/>
        <w:jc w:val="both"/>
      </w:pPr>
      <w:proofErr w:type="spellStart"/>
      <w:r>
        <w:t>РОС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расчетный объем расходов, необходимый для достижения значений результатов использования субсидии i-м муниципальным образованием;</w:t>
      </w:r>
    </w:p>
    <w:p w:rsidR="00DB011D" w:rsidRDefault="00DB011D">
      <w:pPr>
        <w:pStyle w:val="ConsPlusNormal"/>
        <w:spacing w:before="200"/>
        <w:ind w:firstLine="540"/>
        <w:jc w:val="both"/>
      </w:pPr>
      <w:proofErr w:type="spellStart"/>
      <w:r>
        <w:t>УС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предельный уровень </w:t>
      </w:r>
      <w:proofErr w:type="spellStart"/>
      <w:r>
        <w:t>софинансирования</w:t>
      </w:r>
      <w:proofErr w:type="spellEnd"/>
      <w:r>
        <w:t xml:space="preserve"> для i-</w:t>
      </w:r>
      <w:proofErr w:type="spellStart"/>
      <w:r>
        <w:t>го</w:t>
      </w:r>
      <w:proofErr w:type="spellEnd"/>
      <w:r>
        <w:t xml:space="preserve"> муниципального образования.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  <w:r>
        <w:t xml:space="preserve">Предельный уровень </w:t>
      </w:r>
      <w:proofErr w:type="spellStart"/>
      <w:r>
        <w:t>софинансирования</w:t>
      </w:r>
      <w:proofErr w:type="spellEnd"/>
      <w:r>
        <w:t xml:space="preserve"> для муниципального образования на очередной финансовый год и на плановый период определяется в соответствии с </w:t>
      </w:r>
      <w:hyperlink r:id="rId14" w:history="1">
        <w:r>
          <w:rPr>
            <w:color w:val="0000FF"/>
          </w:rPr>
          <w:t>пунктом 6.4</w:t>
        </w:r>
      </w:hyperlink>
      <w:r>
        <w:t xml:space="preserve"> Правил.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Расчетный объем расходов, необходимый для достижения значений результатов использования субсидии i-м муниципальным образованием, определяется из расчета 50</w:t>
      </w:r>
      <w:proofErr w:type="gramStart"/>
      <w:r>
        <w:t xml:space="preserve"> П</w:t>
      </w:r>
      <w:proofErr w:type="gramEnd"/>
      <w:r>
        <w:t>роц. от объема общей потребности очередных лизинговых платежей (за исключением первоначального лизингового взноса) по договорам лизинга (</w:t>
      </w:r>
      <w:proofErr w:type="spellStart"/>
      <w:r>
        <w:t>сублизинга</w:t>
      </w:r>
      <w:proofErr w:type="spellEnd"/>
      <w:r>
        <w:t>), заключенным не ранее 2012 года, по формуле: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jc w:val="center"/>
      </w:pPr>
      <w:proofErr w:type="spellStart"/>
      <w:r>
        <w:t>РОС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= </w:t>
      </w:r>
      <w:proofErr w:type="spellStart"/>
      <w:r>
        <w:t>ЗС</w:t>
      </w:r>
      <w:r>
        <w:rPr>
          <w:vertAlign w:val="subscript"/>
        </w:rPr>
        <w:t>i</w:t>
      </w:r>
      <w:proofErr w:type="spellEnd"/>
      <w:r>
        <w:t xml:space="preserve"> x 50%,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  <w:proofErr w:type="gramStart"/>
      <w:r>
        <w:t xml:space="preserve">где </w:t>
      </w:r>
      <w:proofErr w:type="spellStart"/>
      <w:r>
        <w:t>ЗС</w:t>
      </w:r>
      <w:r>
        <w:rPr>
          <w:vertAlign w:val="subscript"/>
        </w:rPr>
        <w:t>i</w:t>
      </w:r>
      <w:proofErr w:type="spellEnd"/>
      <w:r>
        <w:t xml:space="preserve"> - плановый общий объем расходов на исполнение </w:t>
      </w:r>
      <w:proofErr w:type="spellStart"/>
      <w:r>
        <w:t>софинансируемых</w:t>
      </w:r>
      <w:proofErr w:type="spellEnd"/>
      <w:r>
        <w:t xml:space="preserve"> обязательств в соответствии с заявкой (заявками) i-</w:t>
      </w:r>
      <w:proofErr w:type="spellStart"/>
      <w:r>
        <w:t>го</w:t>
      </w:r>
      <w:proofErr w:type="spellEnd"/>
      <w:r>
        <w:t xml:space="preserve"> муниципального образования, отобранной (отобранными) для предоставления субсидии.</w:t>
      </w:r>
      <w:proofErr w:type="gramEnd"/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  <w:r>
        <w:t>3.10. Основанием для внесения изменений в утвержденное распределение субсидии может являться: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 xml:space="preserve">1) отсутствие соглашения, подписанного согласно </w:t>
      </w:r>
      <w:hyperlink r:id="rId15" w:history="1">
        <w:r>
          <w:rPr>
            <w:color w:val="0000FF"/>
          </w:rPr>
          <w:t>пункту 4.3</w:t>
        </w:r>
      </w:hyperlink>
      <w:r>
        <w:t xml:space="preserve"> Правил;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2) расторжение соглашения;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3) распределение нераспределенного объема субсидии на первый и второй годы планового периода;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4) изменение общего объема бюджетных ассигнований областного бюджета, предусмотренного на предоставление субсидии.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Title"/>
        <w:jc w:val="center"/>
        <w:outlineLvl w:val="2"/>
      </w:pPr>
      <w:r>
        <w:t>4. Порядок расходования субсидии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  <w:r>
        <w:t xml:space="preserve">4.1. Соглашение заключается по типовой форме, утвержденной Комитетом финансов Ленинградской области, в соответствии с требованиями </w:t>
      </w:r>
      <w:hyperlink r:id="rId16" w:history="1">
        <w:r>
          <w:rPr>
            <w:color w:val="0000FF"/>
          </w:rPr>
          <w:t>пункта 4.2</w:t>
        </w:r>
      </w:hyperlink>
      <w:r>
        <w:t xml:space="preserve"> Правил, в информационной системе "Управление бюджетным процессом Ленинградской области", в сроки, установленные </w:t>
      </w:r>
      <w:hyperlink r:id="rId17" w:history="1">
        <w:r>
          <w:rPr>
            <w:color w:val="0000FF"/>
          </w:rPr>
          <w:t>пунктом 4.3</w:t>
        </w:r>
      </w:hyperlink>
      <w:r>
        <w:t xml:space="preserve"> Правил.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 xml:space="preserve">4.2. </w:t>
      </w:r>
      <w:proofErr w:type="gramStart"/>
      <w:r>
        <w:t xml:space="preserve">Муниципальное образование при заключении соглашения представляет в Комитет выписку из бюджета муниципального образования (выписку из сводной бюджетной росписи бюджета муниципального образования), подтверждающую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его исполнения, включая размер планируемой к представлению из областного бюджета</w:t>
      </w:r>
      <w:proofErr w:type="gramEnd"/>
      <w:r>
        <w:t xml:space="preserve"> субсидии.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4.3. Муниципальное образование представляет в Комитет документы, подтверждающие потребность в осуществлении расходов.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lastRenderedPageBreak/>
        <w:t>Исчерпывающий перечень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устанавливаются в соглашении.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 xml:space="preserve">4.4. </w:t>
      </w:r>
      <w:proofErr w:type="gramStart"/>
      <w:r>
        <w:t xml:space="preserve">Перечисление субсидии осуществляется Комитетом в установленном порядке в соответствии с </w:t>
      </w:r>
      <w:hyperlink r:id="rId18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r:id="rId19" w:history="1">
        <w:r>
          <w:rPr>
            <w:color w:val="0000FF"/>
          </w:rPr>
          <w:t>третьим пункта 4.6</w:t>
        </w:r>
      </w:hyperlink>
      <w:r>
        <w:t xml:space="preserve"> Правил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области, исходя из фактической потребности в оплате денежных обязательств по расходам муниципального образования, источником финансового обеспечения которых является субсидия.</w:t>
      </w:r>
      <w:proofErr w:type="gramEnd"/>
    </w:p>
    <w:p w:rsidR="00DB011D" w:rsidRDefault="00DB011D">
      <w:pPr>
        <w:pStyle w:val="ConsPlusNormal"/>
        <w:spacing w:before="200"/>
        <w:ind w:firstLine="540"/>
        <w:jc w:val="both"/>
      </w:pPr>
      <w:r>
        <w:t xml:space="preserve">4.5. </w:t>
      </w:r>
      <w:proofErr w:type="gramStart"/>
      <w:r>
        <w:t>При включении муниципального образования в перечень получателей субсидий в связи с увеличением объема бюджетных ассигнований областного бюджета на предоставление субсидий, а также при изменении утвержденного для муниципального образования объема субсидии соглашение (дополнительное соглашение) заключается не позднее 30 календарных дней со дня вступления в силу нормативного правового акта Ленинградской области, утверждающего изменения в распределение субсидии.</w:t>
      </w:r>
      <w:proofErr w:type="gramEnd"/>
    </w:p>
    <w:p w:rsidR="00DB011D" w:rsidRDefault="00DB011D">
      <w:pPr>
        <w:pStyle w:val="ConsPlusNormal"/>
        <w:spacing w:before="200"/>
        <w:ind w:firstLine="540"/>
        <w:jc w:val="both"/>
      </w:pPr>
      <w:r>
        <w:t>4.6. Не допускается повторного предоставления субсидии по ранее произведенным платежам по договорам лизинга (</w:t>
      </w:r>
      <w:proofErr w:type="spellStart"/>
      <w:r>
        <w:t>сублизинга</w:t>
      </w:r>
      <w:proofErr w:type="spellEnd"/>
      <w:r>
        <w:t>).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4.7. Комитет до 1 февраля года, следующего за отчетным, представляет отчетность о результатах использования субсидии в Комитет финансов Ленинградской области и размещает указанную информацию на официальном сайте Комитета в информационно-телекоммуникационной сети "Интернет".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4.8.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DB011D" w:rsidRDefault="00DB011D">
      <w:pPr>
        <w:pStyle w:val="ConsPlusNormal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целей, порядка и условий предоставления субсидии, а также за соблюдением условий соглашений об их предоставлении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4.9. Ответственность за целевое использование средств, своевременность и достоверность представляемых документов несут администрации муниципальных образований.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>4.10. Субсидия, не использованная в текущем финансовом году, подлежит возврату в областной бюджет в порядке и сроки, установленные правовым актом Комитета финансов Ленинградской области.</w:t>
      </w:r>
    </w:p>
    <w:p w:rsidR="00DB011D" w:rsidRDefault="00DB011D">
      <w:pPr>
        <w:pStyle w:val="ConsPlusNormal"/>
        <w:spacing w:before="200"/>
        <w:ind w:firstLine="540"/>
        <w:jc w:val="both"/>
      </w:pPr>
      <w:r>
        <w:t xml:space="preserve">4.11. В случае </w:t>
      </w:r>
      <w:proofErr w:type="spellStart"/>
      <w:r>
        <w:t>недостижения</w:t>
      </w:r>
      <w:proofErr w:type="spellEnd"/>
      <w:r>
        <w:t xml:space="preserve"> муниципальным образованием значений результатов использования субсидии к нему применяются меры ответственности, предусмотренные </w:t>
      </w:r>
      <w:hyperlink r:id="rId20" w:history="1">
        <w:r>
          <w:rPr>
            <w:color w:val="0000FF"/>
          </w:rPr>
          <w:t>разделом 5</w:t>
        </w:r>
      </w:hyperlink>
      <w:r>
        <w:t xml:space="preserve"> Правил.</w:t>
      </w: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</w:p>
    <w:p w:rsidR="00DB011D" w:rsidRDefault="00DB011D">
      <w:pPr>
        <w:pStyle w:val="ConsPlusNormal"/>
        <w:ind w:firstLine="540"/>
        <w:jc w:val="both"/>
      </w:pPr>
      <w:bookmarkStart w:id="4" w:name="_GoBack"/>
      <w:bookmarkEnd w:id="4"/>
    </w:p>
    <w:sectPr w:rsidR="00DB011D" w:rsidSect="00DB011D">
      <w:pgSz w:w="11906" w:h="16838"/>
      <w:pgMar w:top="1440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1D"/>
    <w:rsid w:val="005F5133"/>
    <w:rsid w:val="00D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1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B01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01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DB01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01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01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01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01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1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B01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01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DB01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01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01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01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01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62FAB74B34034B9F08B297FC92323919836004F38E275263E8D07DD1614B252522F4DF0A953A95ACCF40BFD663AA8C16151067F84FB9B8o173E" TargetMode="External"/><Relationship Id="rId13" Type="http://schemas.openxmlformats.org/officeDocument/2006/relationships/hyperlink" Target="consultantplus://offline/ref=AD62FAB74B34034B9F08AD86E99232391F86640AF18E275263E8D07DD1614B252522F4DF0A943C94A7CF40BFD663AA8C16151067F84FB9B8o173E" TargetMode="External"/><Relationship Id="rId18" Type="http://schemas.openxmlformats.org/officeDocument/2006/relationships/hyperlink" Target="consultantplus://offline/ref=AD62FAB74B34034B9F08AD86E99232391F86640AF18E275263E8D07DD1614B252522F4DF0A943E92A9CF40BFD663AA8C16151067F84FB9B8o173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D62FAB74B34034B9F08B297FC92323919836004F38E275263E8D07DD1614B252522F4D7039233C4FF8041E39232B98C17151262E4o47FE" TargetMode="External"/><Relationship Id="rId12" Type="http://schemas.openxmlformats.org/officeDocument/2006/relationships/hyperlink" Target="consultantplus://offline/ref=AD62FAB74B34034B9F08B297FC92323919836004F38E275263E8D07DD1614B252522F4DF0A943A9BFA9550BB9F36A392120E0E60E64FoB7BE" TargetMode="External"/><Relationship Id="rId17" Type="http://schemas.openxmlformats.org/officeDocument/2006/relationships/hyperlink" Target="consultantplus://offline/ref=AD62FAB74B34034B9F08AD86E99232391F86640AF18E275263E8D07DD1614B252522F4DF0A943E94AFCF40BFD663AA8C16151067F84FB9B8o17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62FAB74B34034B9F08AD86E99232391F86640AF18E275263E8D07DD1614B252522F4DF0A943D92ADCF40BFD663AA8C16151067F84FB9B8o173E" TargetMode="External"/><Relationship Id="rId20" Type="http://schemas.openxmlformats.org/officeDocument/2006/relationships/hyperlink" Target="consultantplus://offline/ref=AD62FAB74B34034B9F08AD86E99232391F86640AF18E275263E8D07DD1614B252522F4DF0A943D94A9CF40BFD663AA8C16151067F84FB9B8o17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62FAB74B34034B9F08B297FC92323919836004F38E275263E8D07DD1614B252522F4D60F9733C4FF8041E39232B98C17151262E4o47FE" TargetMode="External"/><Relationship Id="rId11" Type="http://schemas.openxmlformats.org/officeDocument/2006/relationships/hyperlink" Target="consultantplus://offline/ref=AD62FAB74B34034B9F08B297FC92323919836004F38E275263E8D07DD1614B252522F4D60F9133C4FF8041E39232B98C17151262E4o47FE" TargetMode="External"/><Relationship Id="rId5" Type="http://schemas.openxmlformats.org/officeDocument/2006/relationships/hyperlink" Target="consultantplus://offline/ref=AD62FAB74B34034B9F08B297FC92323919836004F38E275263E8D07DD1614B252522F4DF0A953A94A7CF40BFD663AA8C16151067F84FB9B8o173E" TargetMode="External"/><Relationship Id="rId15" Type="http://schemas.openxmlformats.org/officeDocument/2006/relationships/hyperlink" Target="consultantplus://offline/ref=AD62FAB74B34034B9F08AD86E99232391F86640AF18E275263E8D07DD1614B252522F4DF0A943E94AFCF40BFD663AA8C16151067F84FB9B8o173E" TargetMode="External"/><Relationship Id="rId10" Type="http://schemas.openxmlformats.org/officeDocument/2006/relationships/hyperlink" Target="consultantplus://offline/ref=AD62FAB74B34034B9F08B297FC92323919836004F38E275263E8D07DD1614B252522F4DF0A953B96AFCF40BFD663AA8C16151067F84FB9B8o173E" TargetMode="External"/><Relationship Id="rId19" Type="http://schemas.openxmlformats.org/officeDocument/2006/relationships/hyperlink" Target="consultantplus://offline/ref=AD62FAB74B34034B9F08AD86E99232391F86640AF18E275263E8D07DD1614B252522F4DF0A943E95AACF40BFD663AA8C16151067F84FB9B8o1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62FAB74B34034B9F08B297FC92323919836004F38E275263E8D07DD1614B252522F4D60F9033C4FF8041E39232B98C17151262E4o47FE" TargetMode="External"/><Relationship Id="rId14" Type="http://schemas.openxmlformats.org/officeDocument/2006/relationships/hyperlink" Target="consultantplus://offline/ref=AD62FAB74B34034B9F08AD86E99232391F86640AF18E275263E8D07DD1614B252522F4DF0A943E95A7CF40BFD663AA8C16151067F84FB9B8o173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Андреевна Котлярова</dc:creator>
  <cp:lastModifiedBy>Алла Андреевна Котлярова</cp:lastModifiedBy>
  <cp:revision>1</cp:revision>
  <dcterms:created xsi:type="dcterms:W3CDTF">2022-05-04T04:59:00Z</dcterms:created>
  <dcterms:modified xsi:type="dcterms:W3CDTF">2022-05-04T05:01:00Z</dcterms:modified>
</cp:coreProperties>
</file>