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ABE" w:rsidRDefault="00A33ABE" w:rsidP="00A33ABE">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proofErr w:type="spellStart"/>
        <w:r>
          <w:rPr>
            <w:rFonts w:ascii="Tahoma" w:eastAsiaTheme="minorHAnsi" w:hAnsi="Tahoma" w:cs="Tahoma"/>
            <w:color w:val="0000FF"/>
            <w:sz w:val="20"/>
            <w:szCs w:val="20"/>
          </w:rPr>
          <w:t>КонсультантПлюс</w:t>
        </w:r>
        <w:proofErr w:type="spellEnd"/>
      </w:hyperlink>
      <w:r>
        <w:rPr>
          <w:rFonts w:ascii="Tahoma" w:eastAsiaTheme="minorHAnsi" w:hAnsi="Tahoma" w:cs="Tahoma"/>
          <w:color w:val="auto"/>
          <w:sz w:val="20"/>
          <w:szCs w:val="20"/>
        </w:rPr>
        <w:br/>
      </w:r>
    </w:p>
    <w:p w:rsidR="00A33ABE" w:rsidRDefault="00A33ABE" w:rsidP="00A33ABE">
      <w:pPr>
        <w:autoSpaceDE w:val="0"/>
        <w:autoSpaceDN w:val="0"/>
        <w:adjustRightInd w:val="0"/>
        <w:spacing w:after="0" w:line="240" w:lineRule="auto"/>
        <w:outlineLvl w:val="0"/>
        <w:rPr>
          <w:rFonts w:ascii="Arial" w:hAnsi="Arial" w:cs="Arial"/>
          <w:sz w:val="20"/>
          <w:szCs w:val="20"/>
        </w:rPr>
      </w:pP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КОМИТЕТ ПО ЖИЛИЩНО-КОММУНАЛЬНОМУ ХОЗЯЙСТВУ И ТРАНСПОРТУ</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ЛЕНИНГРАДСКОЙ ОБЛАСТИ</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ПРИКАЗ</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11 июня 2015 г. N 32</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ОБ УТВЕРЖДЕНИИ ПРЕДЕЛЬНОЙ СТОИМОСТИ УСЛУГ </w:t>
      </w:r>
      <w:proofErr w:type="gramStart"/>
      <w:r>
        <w:rPr>
          <w:rFonts w:ascii="Arial" w:eastAsiaTheme="minorHAnsi" w:hAnsi="Arial" w:cs="Arial"/>
          <w:color w:val="auto"/>
          <w:sz w:val="20"/>
          <w:szCs w:val="20"/>
        </w:rPr>
        <w:t>И(</w:t>
      </w:r>
      <w:proofErr w:type="gramEnd"/>
      <w:r>
        <w:rPr>
          <w:rFonts w:ascii="Arial" w:eastAsiaTheme="minorHAnsi" w:hAnsi="Arial" w:cs="Arial"/>
          <w:color w:val="auto"/>
          <w:sz w:val="20"/>
          <w:szCs w:val="20"/>
        </w:rPr>
        <w:t>ИЛИ) РАБОТ</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ПО КАПИТАЛЬНОМУ РЕМОНТУ ОБЩЕГО ИМУЩЕСТВА В </w:t>
      </w:r>
      <w:proofErr w:type="gramStart"/>
      <w:r>
        <w:rPr>
          <w:rFonts w:ascii="Arial" w:eastAsiaTheme="minorHAnsi" w:hAnsi="Arial" w:cs="Arial"/>
          <w:color w:val="auto"/>
          <w:sz w:val="20"/>
          <w:szCs w:val="20"/>
        </w:rPr>
        <w:t>МНОГОКВАРТИРНОМ</w:t>
      </w:r>
      <w:proofErr w:type="gramEnd"/>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ДОМЕ, </w:t>
      </w:r>
      <w:proofErr w:type="gramStart"/>
      <w:r>
        <w:rPr>
          <w:rFonts w:ascii="Arial" w:eastAsiaTheme="minorHAnsi" w:hAnsi="Arial" w:cs="Arial"/>
          <w:color w:val="auto"/>
          <w:sz w:val="20"/>
          <w:szCs w:val="20"/>
        </w:rPr>
        <w:t>КОТОРАЯ</w:t>
      </w:r>
      <w:proofErr w:type="gramEnd"/>
      <w:r>
        <w:rPr>
          <w:rFonts w:ascii="Arial" w:eastAsiaTheme="minorHAnsi" w:hAnsi="Arial" w:cs="Arial"/>
          <w:color w:val="auto"/>
          <w:sz w:val="20"/>
          <w:szCs w:val="20"/>
        </w:rPr>
        <w:t xml:space="preserve"> МОЖЕТ ОПЛАЧИВАТЬСЯ НЕКОММЕРЧЕСКОЙ ОРГАНИЗАЦИЕЙ</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"ФОНД КАПИТАЛЬНОГО РЕМОНТА МНОГОКВАРТИРНЫХ ДОМОВ</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ЛЕНИНГРАДСКОЙ ОБЛАСТИ" ЗА СЧЕТ СРЕДСТВ ФОНДА КАПИТАЛЬНОГО</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РЕМОНТА, СФОРМИРОВАННОГО ИСХОДЯ ИЗ МИНИМАЛЬНОГО РАЗМЕРА</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ВЗНОСА НА КАПИТАЛЬНЫЙ РЕМОНТ НА 2016 ГОД</w:t>
      </w:r>
    </w:p>
    <w:p w:rsidR="00A33ABE" w:rsidRDefault="00A33ABE" w:rsidP="00A33ABE">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33ABE">
        <w:trPr>
          <w:jc w:val="center"/>
        </w:trPr>
        <w:tc>
          <w:tcPr>
            <w:tcW w:w="10147" w:type="dxa"/>
            <w:tcBorders>
              <w:left w:val="single" w:sz="24" w:space="0" w:color="CED3F1"/>
              <w:right w:val="single" w:sz="24" w:space="0" w:color="F4F3F8"/>
            </w:tcBorders>
            <w:shd w:val="clear" w:color="auto" w:fill="F4F3F8"/>
          </w:tcPr>
          <w:p w:rsidR="00A33ABE" w:rsidRDefault="00A33ABE">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33ABE" w:rsidRDefault="00A33ABE">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w:t>
            </w:r>
            <w:hyperlink r:id="rId6" w:history="1">
              <w:r>
                <w:rPr>
                  <w:rFonts w:ascii="Arial" w:hAnsi="Arial" w:cs="Arial"/>
                  <w:color w:val="0000FF"/>
                  <w:sz w:val="20"/>
                  <w:szCs w:val="20"/>
                </w:rPr>
                <w:t>Приказа</w:t>
              </w:r>
            </w:hyperlink>
            <w:r>
              <w:rPr>
                <w:rFonts w:ascii="Arial" w:hAnsi="Arial" w:cs="Arial"/>
                <w:color w:val="392C69"/>
                <w:sz w:val="20"/>
                <w:szCs w:val="20"/>
              </w:rPr>
              <w:t xml:space="preserve"> комитета по жилищно-коммунальному хозяйству</w:t>
            </w:r>
            <w:proofErr w:type="gramEnd"/>
          </w:p>
          <w:p w:rsidR="00A33ABE" w:rsidRDefault="00A33ABE">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и транспорту Ленинградской области от 30.06.2015 N 37)</w:t>
            </w:r>
          </w:p>
        </w:tc>
      </w:tr>
    </w:tbl>
    <w:p w:rsidR="00A33ABE" w:rsidRDefault="00A33ABE" w:rsidP="00A33ABE">
      <w:pPr>
        <w:autoSpaceDE w:val="0"/>
        <w:autoSpaceDN w:val="0"/>
        <w:adjustRightInd w:val="0"/>
        <w:spacing w:after="0" w:line="240" w:lineRule="auto"/>
        <w:jc w:val="center"/>
        <w:rPr>
          <w:rFonts w:ascii="Arial" w:hAnsi="Arial" w:cs="Arial"/>
          <w:sz w:val="20"/>
          <w:szCs w:val="20"/>
        </w:rPr>
      </w:pPr>
    </w:p>
    <w:p w:rsidR="00A33ABE" w:rsidRDefault="00A33ABE" w:rsidP="00A33ABE">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w:t>
      </w:r>
      <w:hyperlink r:id="rId7" w:history="1">
        <w:r>
          <w:rPr>
            <w:rFonts w:ascii="Arial" w:hAnsi="Arial" w:cs="Arial"/>
            <w:color w:val="0000FF"/>
            <w:sz w:val="20"/>
            <w:szCs w:val="20"/>
          </w:rPr>
          <w:t>п. 6</w:t>
        </w:r>
      </w:hyperlink>
      <w:r>
        <w:rPr>
          <w:rFonts w:ascii="Arial" w:hAnsi="Arial" w:cs="Arial"/>
          <w:sz w:val="20"/>
          <w:szCs w:val="20"/>
        </w:rPr>
        <w:t xml:space="preserve"> Постановления Правительства Ленинградской области от 09.06.2014 N 228 "Об утверждении Порядка определения размера предельной стоимости услуг </w:t>
      </w:r>
      <w:proofErr w:type="gramStart"/>
      <w:r>
        <w:rPr>
          <w:rFonts w:ascii="Arial" w:hAnsi="Arial" w:cs="Arial"/>
          <w:sz w:val="20"/>
          <w:szCs w:val="20"/>
        </w:rPr>
        <w:t>и(</w:t>
      </w:r>
      <w:proofErr w:type="gramEnd"/>
      <w:r>
        <w:rPr>
          <w:rFonts w:ascii="Arial" w:hAnsi="Arial" w:cs="Arial"/>
          <w:sz w:val="20"/>
          <w:szCs w:val="20"/>
        </w:rPr>
        <w:t>или) работ по капитальному ремонту общего имущества в многоквартирном доме, которая может оплачиваться некоммерческой организацией "Фонд капитального ремонта многоквартирных домов Ленинградской области" за счет средств фонда капитального ремонта, сформированного исходя из минимального размера взноса на капитальный ремонт" приказываю:</w:t>
      </w:r>
    </w:p>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Утвердить предельную </w:t>
      </w:r>
      <w:hyperlink w:anchor="Par42" w:history="1">
        <w:r>
          <w:rPr>
            <w:rFonts w:ascii="Arial" w:hAnsi="Arial" w:cs="Arial"/>
            <w:color w:val="0000FF"/>
            <w:sz w:val="20"/>
            <w:szCs w:val="20"/>
          </w:rPr>
          <w:t>стоимость</w:t>
        </w:r>
      </w:hyperlink>
      <w:r>
        <w:rPr>
          <w:rFonts w:ascii="Arial" w:hAnsi="Arial" w:cs="Arial"/>
          <w:sz w:val="20"/>
          <w:szCs w:val="20"/>
        </w:rPr>
        <w:t xml:space="preserve"> услуг </w:t>
      </w:r>
      <w:proofErr w:type="gramStart"/>
      <w:r>
        <w:rPr>
          <w:rFonts w:ascii="Arial" w:hAnsi="Arial" w:cs="Arial"/>
          <w:sz w:val="20"/>
          <w:szCs w:val="20"/>
        </w:rPr>
        <w:t>и(</w:t>
      </w:r>
      <w:proofErr w:type="gramEnd"/>
      <w:r>
        <w:rPr>
          <w:rFonts w:ascii="Arial" w:hAnsi="Arial" w:cs="Arial"/>
          <w:sz w:val="20"/>
          <w:szCs w:val="20"/>
        </w:rPr>
        <w:t>или) работ по капитальному ремонту общего имущества в многоквартирном доме, которая может оплачиваться некоммерческой организацией "Фонд капитального ремонта многоквартирных домов Ленинградской области" за счет средств фонда капитального ремонта, сформированного исходя из минимального размера взноса на капитальный ремонт на 2016 год согласно приложению.</w:t>
      </w:r>
    </w:p>
    <w:p w:rsidR="00A33ABE" w:rsidRDefault="00A33ABE" w:rsidP="00A33ABE">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w:t>
      </w:r>
      <w:hyperlink r:id="rId8" w:history="1">
        <w:r>
          <w:rPr>
            <w:rFonts w:ascii="Arial" w:hAnsi="Arial" w:cs="Arial"/>
            <w:color w:val="0000FF"/>
            <w:sz w:val="20"/>
            <w:szCs w:val="20"/>
          </w:rPr>
          <w:t>Приказа</w:t>
        </w:r>
      </w:hyperlink>
      <w:r>
        <w:rPr>
          <w:rFonts w:ascii="Arial" w:hAnsi="Arial" w:cs="Arial"/>
          <w:sz w:val="20"/>
          <w:szCs w:val="20"/>
        </w:rPr>
        <w:t xml:space="preserve"> комитета по жилищно-коммунальному хозяйству и транспорту Ленинградской области от 30.06.2015 N 37)</w:t>
      </w:r>
    </w:p>
    <w:p w:rsidR="00A33ABE" w:rsidRDefault="00A33ABE" w:rsidP="00A33ABE">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Контроль за</w:t>
      </w:r>
      <w:proofErr w:type="gramEnd"/>
      <w:r>
        <w:rPr>
          <w:rFonts w:ascii="Arial" w:hAnsi="Arial" w:cs="Arial"/>
          <w:sz w:val="20"/>
          <w:szCs w:val="20"/>
        </w:rPr>
        <w:t xml:space="preserve"> исполнением приказа оставляю за собой.</w:t>
      </w:r>
    </w:p>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Первый заместитель</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председателя комитета</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жилищно-коммунальному</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хозяйству и транспорту</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Ленинградской области</w:t>
      </w:r>
    </w:p>
    <w:p w:rsidR="00A33ABE" w:rsidRDefault="00A33ABE" w:rsidP="00A33ABE">
      <w:pPr>
        <w:autoSpaceDE w:val="0"/>
        <w:autoSpaceDN w:val="0"/>
        <w:adjustRightInd w:val="0"/>
        <w:spacing w:after="0" w:line="240" w:lineRule="auto"/>
        <w:jc w:val="right"/>
        <w:rPr>
          <w:rFonts w:ascii="Arial" w:hAnsi="Arial" w:cs="Arial"/>
          <w:sz w:val="20"/>
          <w:szCs w:val="20"/>
        </w:rPr>
      </w:pPr>
      <w:proofErr w:type="spellStart"/>
      <w:r>
        <w:rPr>
          <w:rFonts w:ascii="Arial" w:hAnsi="Arial" w:cs="Arial"/>
          <w:sz w:val="20"/>
          <w:szCs w:val="20"/>
        </w:rPr>
        <w:t>А.В.Саблин</w:t>
      </w:r>
      <w:proofErr w:type="spellEnd"/>
    </w:p>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 Комитета</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жилищно-коммунальному</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хозяйству и транспорту</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Ленинградской области</w:t>
      </w:r>
    </w:p>
    <w:p w:rsidR="00A33ABE" w:rsidRDefault="00A33ABE" w:rsidP="00A33ABE">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11.06.2015 N 32</w:t>
      </w:r>
    </w:p>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0" w:name="Par42"/>
      <w:bookmarkEnd w:id="0"/>
      <w:r>
        <w:rPr>
          <w:rFonts w:ascii="Arial" w:eastAsiaTheme="minorHAnsi" w:hAnsi="Arial" w:cs="Arial"/>
          <w:color w:val="auto"/>
          <w:sz w:val="20"/>
          <w:szCs w:val="20"/>
        </w:rPr>
        <w:t>ПОКАЗАТЕЛИ ПРЕДЕЛЬНОЙ СТОИМОСТИ</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ПРОВЕДЕНИЯ КАПИТАЛЬНОГО РЕМОНТА ОБЩЕГО ИМУЩЕСТВА</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МНОГОКВАРТИРНЫХ ДОМАХ, РАСПОЛОЖЕННЫХ НА ТЕРРИТОРИИ</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lastRenderedPageBreak/>
        <w:t>ЛЕНИНГРАДСКОЙ ОБЛАСТИ, В РАСЧЕТЕ НА ЕДИНИЦУ ОБЪЕМА</w:t>
      </w:r>
    </w:p>
    <w:p w:rsidR="00A33ABE" w:rsidRDefault="00A33ABE" w:rsidP="00A33ABE">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КОНСТРУКТИВНОГО ЭЛЕМЕНТА, НА 2016 ГОД</w:t>
      </w:r>
    </w:p>
    <w:p w:rsidR="00A33ABE" w:rsidRDefault="00A33ABE" w:rsidP="00A33ABE">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33ABE">
        <w:trPr>
          <w:jc w:val="center"/>
        </w:trPr>
        <w:tc>
          <w:tcPr>
            <w:tcW w:w="10147" w:type="dxa"/>
            <w:tcBorders>
              <w:left w:val="single" w:sz="24" w:space="0" w:color="CED3F1"/>
              <w:right w:val="single" w:sz="24" w:space="0" w:color="F4F3F8"/>
            </w:tcBorders>
            <w:shd w:val="clear" w:color="auto" w:fill="F4F3F8"/>
          </w:tcPr>
          <w:p w:rsidR="00A33ABE" w:rsidRDefault="00A33ABE">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33ABE" w:rsidRDefault="00A33ABE">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w:t>
            </w:r>
            <w:hyperlink r:id="rId9" w:history="1">
              <w:r>
                <w:rPr>
                  <w:rFonts w:ascii="Arial" w:hAnsi="Arial" w:cs="Arial"/>
                  <w:color w:val="0000FF"/>
                  <w:sz w:val="20"/>
                  <w:szCs w:val="20"/>
                </w:rPr>
                <w:t>Приказа</w:t>
              </w:r>
            </w:hyperlink>
            <w:r>
              <w:rPr>
                <w:rFonts w:ascii="Arial" w:hAnsi="Arial" w:cs="Arial"/>
                <w:color w:val="392C69"/>
                <w:sz w:val="20"/>
                <w:szCs w:val="20"/>
              </w:rPr>
              <w:t xml:space="preserve"> комитета по жилищно-коммунальному хозяйству</w:t>
            </w:r>
            <w:proofErr w:type="gramEnd"/>
          </w:p>
          <w:p w:rsidR="00A33ABE" w:rsidRDefault="00A33ABE">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и транспорту Ленинградской области от 30.06.2015 N 37)</w:t>
            </w:r>
          </w:p>
        </w:tc>
      </w:tr>
    </w:tbl>
    <w:p w:rsidR="00A33ABE" w:rsidRDefault="00A33ABE" w:rsidP="00A33ABE">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6066"/>
        <w:gridCol w:w="1361"/>
        <w:gridCol w:w="1587"/>
      </w:tblGrid>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N </w:t>
            </w:r>
            <w:proofErr w:type="gramStart"/>
            <w:r>
              <w:rPr>
                <w:rFonts w:ascii="Arial" w:hAnsi="Arial" w:cs="Arial"/>
                <w:sz w:val="20"/>
                <w:szCs w:val="20"/>
              </w:rPr>
              <w:t>п</w:t>
            </w:r>
            <w:proofErr w:type="gramEnd"/>
            <w:r>
              <w:rPr>
                <w:rFonts w:ascii="Arial" w:hAnsi="Arial" w:cs="Arial"/>
                <w:sz w:val="20"/>
                <w:szCs w:val="20"/>
              </w:rPr>
              <w:t>/п</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работ</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объема конструктивного элемента</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Показатель предельной стоимости проведения капитального ремонта, руб. / единицы объема конструктивного элемента</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внутридомовых инженерных систем электро-, тепло-, водоснабжения, водоотведения, в том числе:</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замена инженерных систем:</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Замена разводящих магистралей и стояков, замена запорной арматуры, в т.ч. ответвления на квартиры, подвал. ХВС, ГВС</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 п.</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3417</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Замена стояков канализации, в т.ч. ответвления на квартиры</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 п.</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2767</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Замена разводящих магистралей и стояков отопления, запорной и регулировочной арматуры, в т.ч. на ответвления к отопительным приборам в жилых помещениях</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 п.</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3644</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Электромонтажные работы</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 п.</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1521</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ГРЩ</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245696</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Устройство тепловых пунктов</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r>
      <w:tr w:rsidR="00A33ABE">
        <w:tc>
          <w:tcPr>
            <w:tcW w:w="9638" w:type="dxa"/>
            <w:gridSpan w:val="4"/>
            <w:tcBorders>
              <w:top w:val="single" w:sz="4" w:space="0" w:color="auto"/>
              <w:left w:val="single" w:sz="4" w:space="0" w:color="auto"/>
              <w:right w:val="single" w:sz="4" w:space="0" w:color="auto"/>
            </w:tcBorders>
          </w:tcPr>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454"/>
            </w:tblGrid>
            <w:tr w:rsidR="00A33ABE">
              <w:trPr>
                <w:jc w:val="center"/>
              </w:trPr>
              <w:tc>
                <w:tcPr>
                  <w:tcW w:w="10147" w:type="dxa"/>
                  <w:tcBorders>
                    <w:top w:val="nil"/>
                    <w:left w:val="single" w:sz="24" w:space="0" w:color="CED3F1"/>
                    <w:bottom w:val="nil"/>
                    <w:right w:val="single" w:sz="24" w:space="0" w:color="F4F3F8"/>
                  </w:tcBorders>
                  <w:shd w:val="clear" w:color="auto" w:fill="F4F3F8"/>
                </w:tcPr>
                <w:p w:rsidR="00A33ABE" w:rsidRDefault="00A33ABE">
                  <w:pPr>
                    <w:autoSpaceDE w:val="0"/>
                    <w:autoSpaceDN w:val="0"/>
                    <w:adjustRightInd w:val="0"/>
                    <w:spacing w:after="0" w:line="240" w:lineRule="auto"/>
                    <w:jc w:val="both"/>
                    <w:rPr>
                      <w:rFonts w:ascii="Arial" w:hAnsi="Arial" w:cs="Arial"/>
                      <w:color w:val="392C69"/>
                      <w:sz w:val="20"/>
                      <w:szCs w:val="20"/>
                    </w:rPr>
                  </w:pPr>
                  <w:proofErr w:type="spellStart"/>
                  <w:r>
                    <w:rPr>
                      <w:rFonts w:ascii="Arial" w:hAnsi="Arial" w:cs="Arial"/>
                      <w:color w:val="392C69"/>
                      <w:sz w:val="20"/>
                      <w:szCs w:val="20"/>
                    </w:rPr>
                    <w:t>КонсультантПлюс</w:t>
                  </w:r>
                  <w:proofErr w:type="spellEnd"/>
                  <w:r>
                    <w:rPr>
                      <w:rFonts w:ascii="Arial" w:hAnsi="Arial" w:cs="Arial"/>
                      <w:color w:val="392C69"/>
                      <w:sz w:val="20"/>
                      <w:szCs w:val="20"/>
                    </w:rPr>
                    <w:t xml:space="preserve">: </w:t>
                  </w:r>
                  <w:proofErr w:type="spellStart"/>
                  <w:r>
                    <w:rPr>
                      <w:rFonts w:ascii="Arial" w:hAnsi="Arial" w:cs="Arial"/>
                      <w:color w:val="392C69"/>
                      <w:sz w:val="20"/>
                      <w:szCs w:val="20"/>
                    </w:rPr>
                    <w:t>примечание</w:t>
                  </w:r>
                  <w:proofErr w:type="gramStart"/>
                  <w:r>
                    <w:rPr>
                      <w:rFonts w:ascii="Arial" w:hAnsi="Arial" w:cs="Arial"/>
                      <w:color w:val="392C69"/>
                      <w:sz w:val="20"/>
                      <w:szCs w:val="20"/>
                    </w:rPr>
                    <w:t>.Н</w:t>
                  </w:r>
                  <w:proofErr w:type="gramEnd"/>
                  <w:r>
                    <w:rPr>
                      <w:rFonts w:ascii="Arial" w:hAnsi="Arial" w:cs="Arial"/>
                      <w:color w:val="392C69"/>
                      <w:sz w:val="20"/>
                      <w:szCs w:val="20"/>
                    </w:rPr>
                    <w:t>умерация</w:t>
                  </w:r>
                  <w:proofErr w:type="spellEnd"/>
                  <w:r>
                    <w:rPr>
                      <w:rFonts w:ascii="Arial" w:hAnsi="Arial" w:cs="Arial"/>
                      <w:color w:val="392C69"/>
                      <w:sz w:val="20"/>
                      <w:szCs w:val="20"/>
                    </w:rPr>
                    <w:t xml:space="preserve"> пунктов дана в соответствии с официальным текстом документа.</w:t>
                  </w:r>
                </w:p>
              </w:tc>
            </w:tr>
          </w:tbl>
          <w:p w:rsidR="00A33ABE" w:rsidRDefault="00A33ABE">
            <w:pPr>
              <w:autoSpaceDE w:val="0"/>
              <w:autoSpaceDN w:val="0"/>
              <w:adjustRightInd w:val="0"/>
              <w:spacing w:after="0" w:line="240" w:lineRule="auto"/>
              <w:jc w:val="both"/>
              <w:rPr>
                <w:rFonts w:ascii="Arial" w:hAnsi="Arial" w:cs="Arial"/>
                <w:color w:val="392C69"/>
                <w:sz w:val="20"/>
                <w:szCs w:val="20"/>
              </w:rPr>
            </w:pPr>
          </w:p>
        </w:tc>
      </w:tr>
      <w:tr w:rsidR="00A33ABE">
        <w:tc>
          <w:tcPr>
            <w:tcW w:w="624" w:type="dxa"/>
            <w:tcBorders>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w:t>
            </w:r>
          </w:p>
        </w:tc>
        <w:tc>
          <w:tcPr>
            <w:tcW w:w="6066" w:type="dxa"/>
            <w:tcBorders>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Индивидуальный тепловой пункт</w:t>
            </w:r>
          </w:p>
        </w:tc>
        <w:tc>
          <w:tcPr>
            <w:tcW w:w="1361" w:type="dxa"/>
            <w:tcBorders>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tc>
        <w:tc>
          <w:tcPr>
            <w:tcW w:w="1587" w:type="dxa"/>
            <w:tcBorders>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616394</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лифтового оборудования, признанного непригодным для эксплуатации, ремонт лифтовых шахт</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лифта, 400 кг на 9 остановок</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2441401</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2.2</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лифта, 630 кг на 9 остановок</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2990923</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Автоматизация, диспетчеризация, электромонтажные работы</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комплект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302807</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Ремонтно-строительные работы шахты, машинного отделения</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комплект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636508</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Дополнительно на 1 остановку добавлять или уменьшать. Замена лифта, 400 кг</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комплект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149734</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2.6</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Дополнительно на 1 остановку добавлять или уменьшать. Замена лифта, 630 кг</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комплект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164743</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Стропильная кровля с покрытием из асбестоцементных листов, замена на </w:t>
            </w:r>
            <w:proofErr w:type="spellStart"/>
            <w:r>
              <w:rPr>
                <w:rFonts w:ascii="Arial" w:hAnsi="Arial" w:cs="Arial"/>
                <w:sz w:val="20"/>
                <w:szCs w:val="20"/>
              </w:rPr>
              <w:t>металлочерепицу</w:t>
            </w:r>
            <w:proofErr w:type="spellEnd"/>
            <w:r>
              <w:rPr>
                <w:rFonts w:ascii="Arial" w:hAnsi="Arial" w:cs="Arial"/>
                <w:sz w:val="20"/>
                <w:szCs w:val="20"/>
              </w:rPr>
              <w:t>, смена водосточных труб</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кв. м</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7395</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Кровля стропильная с покрытием из листовой стали, смена кровли, смена водосточных труб</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кв. м</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6903</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мягкой кровли, смена воронок, аэраторов</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кв. м</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4941</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 относящихся к общему имуществу в многоквартирных домах (гидроизоляция, утепление, ремонт приямков, смена дверных блоков, цоколь, отмостка)</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кв. м</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21448</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Утепление и ремонт фасадов</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Деревянный фасад с утеплением, замена окон, ремонт балконов и козырьков, ремонт цоколя, ремонт отмостки</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кв. м</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14839</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Оштукатуренный кирпичный фасад, замена окон, ремонт балконов и козырьков, ремонт цоколя, ремонт отмостки</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кв. м</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17722</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Фасад крупнопанельного дома с окраской, замена окон, ремонт балконов и козырьков, ремонт цоколя, ремонт отмостки</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кв. м</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12745</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Установка коллективных (общедомовых) приборов учета потребления ресурсов и узлов управления (тепловой энергии, горячей и холодной воды, электрической энергии)</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6.1</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Водомерные узлы горячей и холодной воды</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140372</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Прибор учета электроэнергии</w:t>
            </w:r>
          </w:p>
        </w:tc>
        <w:tc>
          <w:tcPr>
            <w:tcW w:w="1361"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tc>
        <w:tc>
          <w:tcPr>
            <w:tcW w:w="1587"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88906</w:t>
            </w:r>
          </w:p>
        </w:tc>
      </w:tr>
      <w:tr w:rsidR="00A33ABE">
        <w:tc>
          <w:tcPr>
            <w:tcW w:w="624" w:type="dxa"/>
            <w:tcBorders>
              <w:top w:val="single" w:sz="4" w:space="0" w:color="auto"/>
              <w:left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6066" w:type="dxa"/>
            <w:tcBorders>
              <w:top w:val="single" w:sz="4" w:space="0" w:color="auto"/>
              <w:left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Технический надзор</w:t>
            </w:r>
          </w:p>
        </w:tc>
        <w:tc>
          <w:tcPr>
            <w:tcW w:w="2948" w:type="dxa"/>
            <w:gridSpan w:val="2"/>
            <w:tcBorders>
              <w:top w:val="single" w:sz="4" w:space="0" w:color="auto"/>
              <w:left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2,14%</w:t>
            </w:r>
          </w:p>
        </w:tc>
      </w:tr>
      <w:tr w:rsidR="00A33ABE">
        <w:tc>
          <w:tcPr>
            <w:tcW w:w="9638" w:type="dxa"/>
            <w:gridSpan w:val="4"/>
            <w:tcBorders>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w:t>
            </w:r>
            <w:hyperlink r:id="rId10" w:history="1">
              <w:r>
                <w:rPr>
                  <w:rFonts w:ascii="Arial" w:hAnsi="Arial" w:cs="Arial"/>
                  <w:color w:val="0000FF"/>
                  <w:sz w:val="20"/>
                  <w:szCs w:val="20"/>
                </w:rPr>
                <w:t>Приказа</w:t>
              </w:r>
            </w:hyperlink>
            <w:r>
              <w:rPr>
                <w:rFonts w:ascii="Arial" w:hAnsi="Arial" w:cs="Arial"/>
                <w:sz w:val="20"/>
                <w:szCs w:val="20"/>
              </w:rPr>
              <w:t xml:space="preserve"> комитета по жилищно-коммунальному хозяйству и транспорту Ленинградской области от 30.06.2015 N 37)</w:t>
            </w:r>
          </w:p>
        </w:tc>
      </w:tr>
      <w:tr w:rsidR="00A33ABE">
        <w:tc>
          <w:tcPr>
            <w:tcW w:w="624"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6066" w:type="dxa"/>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rPr>
                <w:rFonts w:ascii="Arial" w:hAnsi="Arial" w:cs="Arial"/>
                <w:sz w:val="20"/>
                <w:szCs w:val="20"/>
              </w:rPr>
            </w:pPr>
            <w:r>
              <w:rPr>
                <w:rFonts w:ascii="Arial" w:hAnsi="Arial" w:cs="Arial"/>
                <w:sz w:val="20"/>
                <w:szCs w:val="20"/>
              </w:rPr>
              <w:t>Проектные работы</w:t>
            </w:r>
          </w:p>
        </w:tc>
        <w:tc>
          <w:tcPr>
            <w:tcW w:w="2948" w:type="dxa"/>
            <w:gridSpan w:val="2"/>
            <w:tcBorders>
              <w:top w:val="single" w:sz="4" w:space="0" w:color="auto"/>
              <w:left w:val="single" w:sz="4" w:space="0" w:color="auto"/>
              <w:bottom w:val="single" w:sz="4" w:space="0" w:color="auto"/>
              <w:right w:val="single" w:sz="4" w:space="0" w:color="auto"/>
            </w:tcBorders>
          </w:tcPr>
          <w:p w:rsidR="00A33ABE" w:rsidRDefault="00A33AB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Определение стоимости проектных работ производится с применением Сборника цен на проектные работы для строительства</w:t>
            </w:r>
          </w:p>
        </w:tc>
      </w:tr>
    </w:tbl>
    <w:p w:rsidR="00A33ABE" w:rsidRDefault="00A33ABE" w:rsidP="00A33ABE">
      <w:pPr>
        <w:autoSpaceDE w:val="0"/>
        <w:autoSpaceDN w:val="0"/>
        <w:adjustRightInd w:val="0"/>
        <w:spacing w:after="0" w:line="240" w:lineRule="auto"/>
        <w:ind w:firstLine="540"/>
        <w:jc w:val="both"/>
        <w:rPr>
          <w:rFonts w:ascii="Arial" w:hAnsi="Arial" w:cs="Arial"/>
          <w:sz w:val="20"/>
          <w:szCs w:val="20"/>
        </w:rPr>
      </w:pPr>
    </w:p>
    <w:p w:rsidR="00A33ABE" w:rsidRDefault="00A33ABE" w:rsidP="00A33ABE">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Ремонт фундаментов многоквартирных домов (усиление) определяется по итогам разработанной проектно-сметной документации.</w:t>
      </w:r>
    </w:p>
    <w:p w:rsidR="00A33ABE" w:rsidRDefault="00A33ABE" w:rsidP="00A33ABE">
      <w:pPr>
        <w:autoSpaceDE w:val="0"/>
        <w:autoSpaceDN w:val="0"/>
        <w:adjustRightInd w:val="0"/>
        <w:spacing w:after="0" w:line="240" w:lineRule="auto"/>
        <w:rPr>
          <w:rFonts w:ascii="Arial" w:hAnsi="Arial" w:cs="Arial"/>
          <w:sz w:val="20"/>
          <w:szCs w:val="20"/>
        </w:rPr>
      </w:pPr>
    </w:p>
    <w:p w:rsidR="00A33ABE" w:rsidRDefault="00A33ABE" w:rsidP="00A33ABE">
      <w:pPr>
        <w:autoSpaceDE w:val="0"/>
        <w:autoSpaceDN w:val="0"/>
        <w:adjustRightInd w:val="0"/>
        <w:spacing w:after="0" w:line="240" w:lineRule="auto"/>
        <w:rPr>
          <w:rFonts w:ascii="Arial" w:hAnsi="Arial" w:cs="Arial"/>
          <w:sz w:val="20"/>
          <w:szCs w:val="20"/>
        </w:rPr>
      </w:pPr>
    </w:p>
    <w:p w:rsidR="00A33ABE" w:rsidRDefault="00A33ABE" w:rsidP="00A33ABE">
      <w:pPr>
        <w:pBdr>
          <w:top w:val="single" w:sz="6" w:space="0" w:color="auto"/>
        </w:pBdr>
        <w:autoSpaceDE w:val="0"/>
        <w:autoSpaceDN w:val="0"/>
        <w:adjustRightInd w:val="0"/>
        <w:spacing w:before="100" w:after="100" w:line="240" w:lineRule="auto"/>
        <w:jc w:val="both"/>
        <w:rPr>
          <w:rFonts w:ascii="Arial" w:hAnsi="Arial" w:cs="Arial"/>
          <w:sz w:val="2"/>
          <w:szCs w:val="2"/>
        </w:rPr>
      </w:pPr>
    </w:p>
    <w:p w:rsidR="00C74D42" w:rsidRDefault="00C74D42">
      <w:bookmarkStart w:id="1" w:name="_GoBack"/>
      <w:bookmarkEnd w:id="1"/>
    </w:p>
    <w:sectPr w:rsidR="00C74D42" w:rsidSect="003A375F">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2C"/>
    <w:rsid w:val="0027542C"/>
    <w:rsid w:val="00700B89"/>
    <w:rsid w:val="00A33ABE"/>
    <w:rsid w:val="00C74D42"/>
    <w:rsid w:val="00F34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478EEF8098BA0952441AD6CC3782CAC1C1951400D8A4D0C44DDC150F5604A50CB1A98F453B883Dk7MEO" TargetMode="External"/><Relationship Id="rId3" Type="http://schemas.openxmlformats.org/officeDocument/2006/relationships/settings" Target="settings.xml"/><Relationship Id="rId7" Type="http://schemas.openxmlformats.org/officeDocument/2006/relationships/hyperlink" Target="consultantplus://offline/ref=57478EEF8098BA0952441AD6CC3782CAC1C0951004DDA4D0C44DDC150F5604A50CB1A98F453B883Fk7MAO"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7478EEF8098BA0952441AD6CC3782CAC1C1951400D8A4D0C44DDC150F5604A50CB1A98F453B883Dk7MEO"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57478EEF8098BA0952441AD6CC3782CAC1C1951400D8A4D0C44DDC150F5604A50CB1A98F453B883Dk7MDO" TargetMode="External"/><Relationship Id="rId4" Type="http://schemas.openxmlformats.org/officeDocument/2006/relationships/webSettings" Target="webSettings.xml"/><Relationship Id="rId9" Type="http://schemas.openxmlformats.org/officeDocument/2006/relationships/hyperlink" Target="consultantplus://offline/ref=57478EEF8098BA0952441AD6CC3782CAC1C1951400D8A4D0C44DDC150F5604A50CB1A98F453B883Dk7M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923</Words>
  <Characters>5267</Characters>
  <Application>Microsoft Office Word</Application>
  <DocSecurity>0</DocSecurity>
  <Lines>43</Lines>
  <Paragraphs>12</Paragraphs>
  <ScaleCrop>false</ScaleCrop>
  <Company/>
  <LinksUpToDate>false</LinksUpToDate>
  <CharactersWithSpaces>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Анатольевна Дмитриева</dc:creator>
  <cp:keywords/>
  <dc:description/>
  <cp:lastModifiedBy>Екатерина Анатольевна Дмитриева</cp:lastModifiedBy>
  <cp:revision>2</cp:revision>
  <dcterms:created xsi:type="dcterms:W3CDTF">2018-01-22T14:12:00Z</dcterms:created>
  <dcterms:modified xsi:type="dcterms:W3CDTF">2018-01-22T14:13:00Z</dcterms:modified>
</cp:coreProperties>
</file>