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E038C0">
        <w:rPr>
          <w:rFonts w:ascii="Times New Roman" w:hAnsi="Times New Roman" w:cs="Times New Roman"/>
          <w:sz w:val="28"/>
          <w:szCs w:val="28"/>
        </w:rPr>
        <w:t>_______________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3B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22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>8 ОКТЯБРЯ 2020 Г</w:t>
      </w:r>
      <w:r w:rsidR="00D203A7">
        <w:rPr>
          <w:rFonts w:ascii="Times New Roman" w:hAnsi="Times New Roman" w:cs="Times New Roman"/>
          <w:b/>
          <w:sz w:val="28"/>
          <w:szCs w:val="28"/>
        </w:rPr>
        <w:t>ОДА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3A7">
        <w:rPr>
          <w:rFonts w:ascii="Times New Roman" w:hAnsi="Times New Roman" w:cs="Times New Roman"/>
          <w:b/>
          <w:sz w:val="28"/>
          <w:szCs w:val="28"/>
        </w:rPr>
        <w:t>№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 xml:space="preserve"> 668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Pr="002D4764" w:rsidRDefault="00C54DA9" w:rsidP="00C54D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28" w:rsidRPr="002A6650" w:rsidRDefault="00622228" w:rsidP="00622228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42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</w:t>
      </w:r>
      <w:r w:rsidR="00FA2342" w:rsidRPr="00FA2342">
        <w:rPr>
          <w:rFonts w:ascii="Times New Roman" w:hAnsi="Times New Roman" w:cs="Times New Roman"/>
          <w:sz w:val="28"/>
          <w:szCs w:val="28"/>
        </w:rPr>
        <w:t>от 08 октября 2020</w:t>
      </w:r>
      <w:r w:rsidR="00B705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2342" w:rsidRPr="00FA2342">
        <w:rPr>
          <w:rFonts w:ascii="Times New Roman" w:hAnsi="Times New Roman" w:cs="Times New Roman"/>
          <w:sz w:val="28"/>
          <w:szCs w:val="28"/>
        </w:rPr>
        <w:t>№ 668 «О распределении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FA2342" w:rsidRPr="00FA2342">
        <w:rPr>
          <w:rFonts w:ascii="Times New Roman" w:hAnsi="Times New Roman" w:cs="Times New Roman"/>
          <w:sz w:val="28"/>
          <w:szCs w:val="28"/>
        </w:rPr>
        <w:t>»</w:t>
      </w:r>
      <w:r w:rsidR="00FA2342">
        <w:rPr>
          <w:rFonts w:ascii="Times New Roman" w:hAnsi="Times New Roman" w:cs="Times New Roman"/>
          <w:sz w:val="28"/>
          <w:szCs w:val="28"/>
        </w:rPr>
        <w:t>,</w:t>
      </w:r>
      <w:r w:rsidRPr="00FA2342">
        <w:rPr>
          <w:rFonts w:ascii="Times New Roman" w:hAnsi="Times New Roman" w:cs="Times New Roman"/>
          <w:sz w:val="28"/>
          <w:szCs w:val="28"/>
        </w:rPr>
        <w:t xml:space="preserve"> </w:t>
      </w:r>
      <w:r w:rsidRPr="002A6650">
        <w:rPr>
          <w:rFonts w:ascii="Times New Roman" w:hAnsi="Times New Roman" w:cs="Times New Roman"/>
          <w:sz w:val="28"/>
          <w:szCs w:val="28"/>
        </w:rPr>
        <w:t>изменение, изложив</w:t>
      </w:r>
      <w:r w:rsidR="0079507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2A665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54DA9" w:rsidRPr="002D4764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C54DA9" w:rsidRPr="0096328F">
        <w:rPr>
          <w:rFonts w:ascii="Times New Roman" w:hAnsi="Times New Roman" w:cs="Times New Roman"/>
          <w:sz w:val="28"/>
          <w:szCs w:val="28"/>
        </w:rPr>
        <w:t>с д</w:t>
      </w:r>
      <w:r w:rsidR="00C54DA9">
        <w:rPr>
          <w:rFonts w:ascii="Times New Roman" w:hAnsi="Times New Roman" w:cs="Times New Roman"/>
          <w:sz w:val="28"/>
          <w:szCs w:val="28"/>
        </w:rPr>
        <w:t>аты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4DA9" w:rsidRPr="0096328F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Default="001837C5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75F7" w:rsidRPr="009F4082">
        <w:rPr>
          <w:rFonts w:ascii="Times New Roman" w:hAnsi="Times New Roman" w:cs="Times New Roman"/>
          <w:sz w:val="28"/>
          <w:szCs w:val="28"/>
        </w:rPr>
        <w:t>приложение)</w:t>
      </w:r>
    </w:p>
    <w:p w:rsidR="002F277A" w:rsidRPr="009F4082" w:rsidRDefault="002F277A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661AD" w:rsidRPr="00A44CC6" w:rsidRDefault="009661AD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C6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9661AD" w:rsidRPr="00A44CC6" w:rsidRDefault="009661AD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C6">
        <w:rPr>
          <w:rFonts w:ascii="Times New Roman" w:hAnsi="Times New Roman" w:cs="Times New Roman"/>
          <w:sz w:val="28"/>
          <w:szCs w:val="28"/>
        </w:rPr>
        <w:t>в 202</w:t>
      </w:r>
      <w:r w:rsidR="001837C5">
        <w:rPr>
          <w:rFonts w:ascii="Times New Roman" w:hAnsi="Times New Roman" w:cs="Times New Roman"/>
          <w:sz w:val="28"/>
          <w:szCs w:val="28"/>
        </w:rPr>
        <w:t>1</w:t>
      </w:r>
      <w:r w:rsidRPr="00A44CC6"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Ленинградской области </w:t>
      </w:r>
      <w:r w:rsidR="001837C5">
        <w:rPr>
          <w:rFonts w:ascii="Times New Roman" w:hAnsi="Times New Roman" w:cs="Times New Roman"/>
          <w:sz w:val="28"/>
          <w:szCs w:val="28"/>
        </w:rPr>
        <w:br/>
      </w:r>
      <w:r w:rsidRPr="00A44CC6">
        <w:rPr>
          <w:rFonts w:ascii="Times New Roman" w:hAnsi="Times New Roman" w:cs="Times New Roman"/>
          <w:sz w:val="28"/>
          <w:szCs w:val="28"/>
        </w:rPr>
        <w:t>и поступивших в порядке софинансирования средств федерального бюджета бюджетам муниципальных образований Ленинградской области на реализацию</w:t>
      </w:r>
    </w:p>
    <w:p w:rsidR="009661AD" w:rsidRDefault="009661AD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C6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D6E28" w:rsidRPr="00A44CC6" w:rsidRDefault="001D6E28" w:rsidP="0096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42"/>
        <w:gridCol w:w="1701"/>
        <w:gridCol w:w="142"/>
        <w:gridCol w:w="1559"/>
        <w:gridCol w:w="1559"/>
        <w:gridCol w:w="1587"/>
        <w:gridCol w:w="1587"/>
      </w:tblGrid>
      <w:tr w:rsidR="00951DE7" w:rsidRPr="00951DE7" w:rsidTr="002F277A">
        <w:trPr>
          <w:gridAfter w:val="2"/>
          <w:wAfter w:w="3174" w:type="dxa"/>
          <w:trHeight w:val="11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80195C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DE7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51DE7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951DE7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951DE7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субсидии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951DE7" w:rsidRPr="00951DE7" w:rsidTr="002F277A">
        <w:trPr>
          <w:gridAfter w:val="2"/>
          <w:wAfter w:w="3174" w:type="dxa"/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1DE7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951DE7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13 982,9</w:t>
            </w:r>
          </w:p>
        </w:tc>
      </w:tr>
      <w:tr w:rsidR="00951DE7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E7" w:rsidRPr="00951DE7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103085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85" w:rsidRPr="001D6E28" w:rsidRDefault="00103085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1984,4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85" w:rsidRPr="001D6E28" w:rsidRDefault="00103085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4351,6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85" w:rsidRPr="001D6E28" w:rsidRDefault="00103085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6336,0</w:t>
            </w:r>
          </w:p>
        </w:tc>
      </w:tr>
      <w:tr w:rsidR="00103085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85" w:rsidRPr="001D6E28" w:rsidRDefault="00103085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3326,9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85" w:rsidRPr="001D6E28" w:rsidRDefault="00103085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7295,4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85" w:rsidRPr="001D6E28" w:rsidRDefault="00103085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10622,3</w:t>
            </w:r>
          </w:p>
        </w:tc>
      </w:tr>
      <w:tr w:rsidR="00103085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103085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103085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28 500,0</w:t>
            </w:r>
          </w:p>
        </w:tc>
      </w:tr>
      <w:tr w:rsidR="00103085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5" w:rsidRPr="00951DE7" w:rsidRDefault="00103085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6 255,7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2313,8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5073,7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7387,5</w:t>
            </w:r>
          </w:p>
        </w:tc>
      </w:tr>
      <w:tr w:rsidR="00D853F1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1D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7751,7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16998,3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24750,0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</w:t>
            </w:r>
            <w:r w:rsidRPr="001D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4225,4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9265,6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13491,0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3220,0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7061,0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F1" w:rsidRPr="001D6E28" w:rsidRDefault="00D853F1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10281,0</w:t>
            </w:r>
          </w:p>
        </w:tc>
      </w:tr>
      <w:tr w:rsidR="001B4ABA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BA" w:rsidRPr="00951DE7" w:rsidRDefault="001B4ABA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BA" w:rsidRPr="00951DE7" w:rsidRDefault="001B4ABA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BA" w:rsidRPr="001D6E28" w:rsidRDefault="001B4ABA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7820,9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BA" w:rsidRPr="001D6E28" w:rsidRDefault="001B4ABA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17149,9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BA" w:rsidRPr="001D6E28" w:rsidRDefault="001B4ABA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24970,8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1D6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1D6E28" w:rsidRDefault="00D853F1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9 684,0</w:t>
            </w:r>
          </w:p>
        </w:tc>
      </w:tr>
      <w:tr w:rsidR="00D853F1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</w:tr>
      <w:tr w:rsidR="00D853F1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1" w:rsidRPr="00951DE7" w:rsidRDefault="00D853F1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13 000,0</w:t>
            </w:r>
          </w:p>
        </w:tc>
      </w:tr>
      <w:tr w:rsidR="00C3377A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77A" w:rsidRPr="00951DE7" w:rsidRDefault="00C3377A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77A" w:rsidRPr="00951DE7" w:rsidRDefault="00C3377A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77A" w:rsidRPr="001D6E28" w:rsidRDefault="00C3377A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11431,7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77A" w:rsidRPr="001D6E28" w:rsidRDefault="00C3377A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25068,0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77A" w:rsidRPr="001D6E28" w:rsidRDefault="00C3377A" w:rsidP="001D6E2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E28">
              <w:rPr>
                <w:rFonts w:ascii="Times New Roman" w:hAnsi="Times New Roman" w:cs="Times New Roman"/>
                <w:sz w:val="28"/>
                <w:szCs w:val="28"/>
              </w:rPr>
              <w:t>36499,7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C4583E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C4583E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10 568,8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951DE7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4678,7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10259,8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14938,5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E28" w:rsidRPr="00AF6778" w:rsidRDefault="001D6E28" w:rsidP="001D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7092,3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15552,2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22644,5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A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9036,6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19816,0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28852,6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AF677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AF677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1D6E28" w:rsidRPr="00951DE7" w:rsidTr="002F277A">
        <w:trPr>
          <w:gridAfter w:val="2"/>
          <w:wAfter w:w="3174" w:type="dxa"/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A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9 438,0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A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AF6778" w:rsidP="00A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AF677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AF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F6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9386,3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20582,5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29968,8</w:t>
            </w:r>
          </w:p>
        </w:tc>
      </w:tr>
      <w:tr w:rsidR="001D6E28" w:rsidRPr="00951DE7" w:rsidTr="002F277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AF677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Усть-Лужское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851,0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1866,0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2717,0</w:t>
            </w:r>
          </w:p>
        </w:tc>
        <w:tc>
          <w:tcPr>
            <w:tcW w:w="1587" w:type="dxa"/>
            <w:shd w:val="clear" w:color="auto" w:fill="auto"/>
          </w:tcPr>
          <w:p w:rsidR="001D6E28" w:rsidRPr="00F74CD5" w:rsidRDefault="001D6E28" w:rsidP="001E4DC4">
            <w:pPr>
              <w:pStyle w:val="ConsPlusNormal"/>
              <w:jc w:val="center"/>
              <w:rPr>
                <w:highlight w:val="yellow"/>
              </w:rPr>
            </w:pPr>
            <w:r w:rsidRPr="00F74CD5">
              <w:rPr>
                <w:highlight w:val="yellow"/>
              </w:rPr>
              <w:t>1866,0</w:t>
            </w:r>
          </w:p>
        </w:tc>
        <w:tc>
          <w:tcPr>
            <w:tcW w:w="1587" w:type="dxa"/>
            <w:shd w:val="clear" w:color="auto" w:fill="auto"/>
          </w:tcPr>
          <w:p w:rsidR="001D6E28" w:rsidRPr="00F74CD5" w:rsidRDefault="001D6E28" w:rsidP="001E4DC4">
            <w:pPr>
              <w:pStyle w:val="ConsPlusNormal"/>
              <w:jc w:val="center"/>
              <w:rPr>
                <w:highlight w:val="yellow"/>
              </w:rPr>
            </w:pPr>
            <w:r w:rsidRPr="00F74CD5">
              <w:rPr>
                <w:highlight w:val="yellow"/>
              </w:rPr>
              <w:t>2717,0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Киришское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18 673,0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65550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Пчевжинское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8 799,0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65550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14 384,0</w:t>
            </w:r>
          </w:p>
        </w:tc>
      </w:tr>
      <w:tr w:rsidR="001D6E28" w:rsidRPr="00951DE7" w:rsidTr="002F277A">
        <w:trPr>
          <w:gridAfter w:val="2"/>
          <w:wAfter w:w="3174" w:type="dxa"/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8612,9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18886,7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27499,6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655504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65550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22 139,0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65550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8 871,0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Пениковское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Лебяженское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6 469,0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9 047,0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4010,5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8794,5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AF6778" w:rsidRDefault="001D6E28" w:rsidP="00AF677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8">
              <w:rPr>
                <w:rFonts w:ascii="Times New Roman" w:hAnsi="Times New Roman" w:cs="Times New Roman"/>
                <w:sz w:val="28"/>
                <w:szCs w:val="28"/>
              </w:rPr>
              <w:t>12805,0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3757,1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8238,8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11995,9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8 364,0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655504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5 033,0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2504,3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5491,7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7996,0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655504" w:rsidRDefault="001D6E28" w:rsidP="0065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Ям-</w:t>
            </w: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Тесовское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3130,7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6865,1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655504" w:rsidRDefault="001D6E28" w:rsidP="006555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04">
              <w:rPr>
                <w:rFonts w:ascii="Times New Roman" w:hAnsi="Times New Roman" w:cs="Times New Roman"/>
                <w:sz w:val="28"/>
                <w:szCs w:val="28"/>
              </w:rPr>
              <w:t>9995,8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65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7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F20976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7B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F20976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B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F20976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B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F20976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7B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5 493,4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7B24A4" w:rsidRDefault="001D6E28" w:rsidP="007B24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4A4">
              <w:rPr>
                <w:rFonts w:ascii="Times New Roman" w:hAnsi="Times New Roman" w:cs="Times New Roman"/>
                <w:sz w:val="28"/>
                <w:szCs w:val="28"/>
              </w:rPr>
              <w:t>4695,5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7B24A4" w:rsidRDefault="001D6E28" w:rsidP="007B24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4A4">
              <w:rPr>
                <w:rFonts w:ascii="Times New Roman" w:hAnsi="Times New Roman" w:cs="Times New Roman"/>
                <w:sz w:val="28"/>
                <w:szCs w:val="28"/>
              </w:rPr>
              <w:t>10296,5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7B24A4" w:rsidRDefault="001D6E28" w:rsidP="007B24A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4A4">
              <w:rPr>
                <w:rFonts w:ascii="Times New Roman" w:hAnsi="Times New Roman" w:cs="Times New Roman"/>
                <w:sz w:val="28"/>
                <w:szCs w:val="28"/>
              </w:rPr>
              <w:t>14992,0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Шугозерское сельское поселение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8 871,0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Тосненский район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Тосненское городское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Любанское городское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CB4A6C" w:rsidRDefault="001D6E28" w:rsidP="00CB4A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5663,8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CB4A6C" w:rsidRDefault="001D6E28" w:rsidP="00CB4A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CB4A6C" w:rsidRDefault="001D6E28" w:rsidP="00CB4A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18083,6</w:t>
            </w:r>
          </w:p>
        </w:tc>
      </w:tr>
      <w:tr w:rsidR="001D6E28" w:rsidRPr="00951DE7" w:rsidTr="002F277A">
        <w:trPr>
          <w:gridAfter w:val="2"/>
          <w:wAfter w:w="3174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</w:t>
            </w:r>
          </w:p>
        </w:tc>
      </w:tr>
      <w:tr w:rsidR="001D6E28" w:rsidRPr="00951DE7" w:rsidTr="002F277A">
        <w:trPr>
          <w:gridAfter w:val="2"/>
          <w:wAfter w:w="3174" w:type="dxa"/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7B24A4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1D6E28"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CB4A6C" w:rsidRDefault="001D6E28" w:rsidP="00CB4A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6621,6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CB4A6C" w:rsidRDefault="001D6E28" w:rsidP="00CB4A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14520,3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28" w:rsidRPr="00CB4A6C" w:rsidRDefault="001D6E28" w:rsidP="00CB4A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21141,9</w:t>
            </w:r>
          </w:p>
        </w:tc>
      </w:tr>
      <w:tr w:rsidR="001D6E28" w:rsidRPr="00951DE7" w:rsidTr="002F277A">
        <w:trPr>
          <w:gridAfter w:val="2"/>
          <w:wAfter w:w="3174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951DE7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D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1837C5" w:rsidRDefault="001D6E28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CB4A6C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363657,2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CB4A6C" w:rsidRDefault="001D6E28" w:rsidP="00CF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797445,1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28" w:rsidRPr="00CB4A6C" w:rsidRDefault="001D6E28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6C">
              <w:rPr>
                <w:rFonts w:ascii="Times New Roman" w:hAnsi="Times New Roman" w:cs="Times New Roman"/>
                <w:sz w:val="28"/>
                <w:szCs w:val="28"/>
              </w:rPr>
              <w:t>1161102,3</w:t>
            </w:r>
          </w:p>
        </w:tc>
      </w:tr>
    </w:tbl>
    <w:p w:rsidR="00AE75F7" w:rsidRPr="00F15302" w:rsidRDefault="002F277A" w:rsidP="00EF4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75F7"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AE75F7" w:rsidRPr="00E757C7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757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757C7" w:rsidRPr="00E757C7" w:rsidRDefault="00AE75F7" w:rsidP="00E7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«</w:t>
      </w:r>
      <w:r w:rsidR="00E757C7" w:rsidRPr="00E757C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AE75F7" w:rsidRDefault="00E757C7" w:rsidP="00E7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ЛЕНИНГРАДСКОЙ ОБЛАСТИ ОТ 8 ОКТЯБРЯ 2020 ГОДА № 668</w:t>
      </w:r>
      <w:r w:rsidR="008D34C7" w:rsidRPr="00E757C7">
        <w:rPr>
          <w:rFonts w:ascii="Times New Roman" w:hAnsi="Times New Roman" w:cs="Times New Roman"/>
          <w:sz w:val="28"/>
          <w:szCs w:val="28"/>
        </w:rPr>
        <w:t>»</w:t>
      </w:r>
    </w:p>
    <w:p w:rsidR="008D34C7" w:rsidRDefault="008D34C7" w:rsidP="008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8D34C7" w:rsidRDefault="008D34C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8A9" w:rsidRDefault="00EE28A9" w:rsidP="00EE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8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08.10.2020 № 668 </w:t>
      </w:r>
      <w:r w:rsidR="000D6357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</w:t>
      </w:r>
      <w:r w:rsidR="0020008D">
        <w:rPr>
          <w:rFonts w:ascii="Times New Roman" w:hAnsi="Times New Roman" w:cs="Times New Roman"/>
          <w:sz w:val="28"/>
          <w:szCs w:val="28"/>
        </w:rPr>
        <w:t xml:space="preserve">Ленинградской области от 08.02.2021 № 75) </w:t>
      </w:r>
      <w:r w:rsidRPr="00EE28A9">
        <w:rPr>
          <w:rFonts w:ascii="Times New Roman" w:hAnsi="Times New Roman" w:cs="Times New Roman"/>
          <w:sz w:val="28"/>
          <w:szCs w:val="28"/>
        </w:rPr>
        <w:t>утверждено Распределение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Pr="00EE28A9">
        <w:rPr>
          <w:rFonts w:ascii="Times New Roman" w:hAnsi="Times New Roman" w:cs="Times New Roman"/>
          <w:sz w:val="28"/>
          <w:szCs w:val="28"/>
        </w:rPr>
        <w:t xml:space="preserve"> граждан на территории Ленинградской области».</w:t>
      </w:r>
    </w:p>
    <w:p w:rsidR="00EF6D3D" w:rsidRDefault="00936FCB" w:rsidP="00EF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в</w:t>
      </w:r>
      <w:r w:rsidR="00EF6D3D">
        <w:rPr>
          <w:rFonts w:ascii="Times New Roman" w:hAnsi="Times New Roman" w:cs="Times New Roman"/>
          <w:sz w:val="28"/>
          <w:szCs w:val="28"/>
        </w:rPr>
        <w:t xml:space="preserve"> связи с экономией средств субсидии по результатам заключенных муниципальных контрактов и </w:t>
      </w:r>
      <w:r w:rsidR="0020008D">
        <w:rPr>
          <w:rFonts w:ascii="Times New Roman" w:hAnsi="Times New Roman" w:cs="Times New Roman"/>
          <w:sz w:val="28"/>
          <w:szCs w:val="28"/>
        </w:rPr>
        <w:t>заключением с Минстроем России Дополнительного соглашения от 11.06.2021 № 069-09-2021-053/3</w:t>
      </w:r>
      <w:r w:rsidR="00EF6D3D">
        <w:rPr>
          <w:rFonts w:ascii="Times New Roman" w:hAnsi="Times New Roman" w:cs="Times New Roman"/>
          <w:sz w:val="28"/>
          <w:szCs w:val="28"/>
        </w:rPr>
        <w:t xml:space="preserve"> в ГИИС «Электронный бюджет», согласно которому субсидия на 2021 год составила 1 161 102 394 руб. 64 коп.</w:t>
      </w:r>
    </w:p>
    <w:p w:rsidR="00FB2095" w:rsidRDefault="00FB2095" w:rsidP="00EF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проведен дополнительный отбор в связи с расторжением соглашения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поселением, </w:t>
      </w:r>
      <w:r w:rsidR="00D302CA">
        <w:rPr>
          <w:rFonts w:ascii="Times New Roman" w:hAnsi="Times New Roman" w:cs="Times New Roman"/>
          <w:sz w:val="28"/>
          <w:szCs w:val="28"/>
        </w:rPr>
        <w:t>на данную сумму субсидии отобрана территория Романовского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B67" w:rsidRDefault="00637B67" w:rsidP="0063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6FCB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6FCB">
        <w:rPr>
          <w:rFonts w:ascii="Times New Roman" w:hAnsi="Times New Roman" w:cs="Times New Roman"/>
          <w:sz w:val="28"/>
          <w:szCs w:val="28"/>
        </w:rPr>
        <w:t xml:space="preserve"> для внесения изменений в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 согласно </w:t>
      </w:r>
      <w:r w:rsidR="00EF6D3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6D3D">
        <w:rPr>
          <w:rFonts w:ascii="Times New Roman" w:hAnsi="Times New Roman" w:cs="Times New Roman"/>
          <w:sz w:val="28"/>
          <w:szCs w:val="28"/>
        </w:rPr>
        <w:t xml:space="preserve"> 3.14 Порядка </w:t>
      </w:r>
      <w:r w:rsidR="00EF6D3D" w:rsidRPr="00936FCB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EF6D3D" w:rsidRPr="00936FCB">
        <w:rPr>
          <w:rFonts w:ascii="Times New Roman" w:hAnsi="Times New Roman" w:cs="Times New Roman"/>
          <w:sz w:val="28"/>
          <w:szCs w:val="28"/>
        </w:rPr>
        <w:t>из областного</w:t>
      </w:r>
      <w:r w:rsid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EF6D3D" w:rsidRPr="00936F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6D3D">
        <w:rPr>
          <w:rFonts w:ascii="Times New Roman" w:hAnsi="Times New Roman" w:cs="Times New Roman"/>
          <w:sz w:val="28"/>
          <w:szCs w:val="28"/>
        </w:rPr>
        <w:t>Л</w:t>
      </w:r>
      <w:r w:rsidR="00EF6D3D" w:rsidRPr="00936FCB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 w:rsid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EF6D3D" w:rsidRPr="00936FCB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  <w:r w:rsid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EF6D3D" w:rsidRPr="00936FC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F6D3D">
        <w:rPr>
          <w:rFonts w:ascii="Times New Roman" w:hAnsi="Times New Roman" w:cs="Times New Roman"/>
          <w:sz w:val="28"/>
          <w:szCs w:val="28"/>
        </w:rPr>
        <w:t>Л</w:t>
      </w:r>
      <w:r w:rsidR="00EF6D3D" w:rsidRPr="00936FC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EF6D3D" w:rsidRPr="00936FCB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</w:t>
      </w:r>
      <w:r w:rsid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EF6D3D" w:rsidRPr="00936FCB">
        <w:rPr>
          <w:rFonts w:ascii="Times New Roman" w:hAnsi="Times New Roman" w:cs="Times New Roman"/>
          <w:sz w:val="28"/>
          <w:szCs w:val="28"/>
        </w:rPr>
        <w:t>городской среды</w:t>
      </w:r>
      <w:r w:rsidR="00EF6D3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</w:t>
      </w:r>
      <w:r w:rsidR="009208EA">
        <w:rPr>
          <w:rFonts w:ascii="Times New Roman" w:hAnsi="Times New Roman" w:cs="Times New Roman"/>
          <w:sz w:val="28"/>
          <w:szCs w:val="28"/>
        </w:rPr>
        <w:t xml:space="preserve"> области от 14.11.2013 № 407,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9208EA" w:rsidRPr="009208EA">
        <w:rPr>
          <w:rFonts w:ascii="Times New Roman" w:hAnsi="Times New Roman" w:cs="Times New Roman"/>
          <w:sz w:val="28"/>
          <w:szCs w:val="28"/>
        </w:rPr>
        <w:t>расторжение соглашения</w:t>
      </w:r>
      <w:r w:rsidR="009208EA">
        <w:rPr>
          <w:rFonts w:ascii="Times New Roman" w:hAnsi="Times New Roman" w:cs="Times New Roman"/>
          <w:sz w:val="28"/>
          <w:szCs w:val="28"/>
        </w:rPr>
        <w:t xml:space="preserve">, </w:t>
      </w:r>
      <w:r w:rsidR="00EF6D3D" w:rsidRPr="00EF6D3D">
        <w:rPr>
          <w:rFonts w:ascii="Times New Roman" w:hAnsi="Times New Roman" w:cs="Times New Roman"/>
          <w:sz w:val="28"/>
          <w:szCs w:val="28"/>
        </w:rPr>
        <w:t>экономия средств субсидии по результатам заклю</w:t>
      </w:r>
      <w:r w:rsidR="00EF6D3D">
        <w:rPr>
          <w:rFonts w:ascii="Times New Roman" w:hAnsi="Times New Roman" w:cs="Times New Roman"/>
          <w:sz w:val="28"/>
          <w:szCs w:val="28"/>
        </w:rPr>
        <w:t>ченных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D3D" w:rsidRDefault="00EF6D3D" w:rsidP="00EF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внесены в строки </w:t>
      </w:r>
      <w:r w:rsidR="00271109" w:rsidRPr="00944DB6">
        <w:rPr>
          <w:rFonts w:ascii="Times New Roman" w:hAnsi="Times New Roman" w:cs="Times New Roman"/>
          <w:sz w:val="28"/>
          <w:szCs w:val="28"/>
        </w:rPr>
        <w:t>3, 4</w:t>
      </w:r>
      <w:r w:rsidRPr="00944DB6">
        <w:rPr>
          <w:rFonts w:ascii="Times New Roman" w:hAnsi="Times New Roman" w:cs="Times New Roman"/>
          <w:sz w:val="28"/>
          <w:szCs w:val="28"/>
        </w:rPr>
        <w:t xml:space="preserve">, 8, </w:t>
      </w:r>
      <w:r w:rsidR="00271109" w:rsidRPr="00944DB6">
        <w:rPr>
          <w:rFonts w:ascii="Times New Roman" w:hAnsi="Times New Roman" w:cs="Times New Roman"/>
          <w:sz w:val="28"/>
          <w:szCs w:val="28"/>
        </w:rPr>
        <w:t xml:space="preserve">9, 11, </w:t>
      </w:r>
      <w:r w:rsidRPr="00944DB6">
        <w:rPr>
          <w:rFonts w:ascii="Times New Roman" w:hAnsi="Times New Roman" w:cs="Times New Roman"/>
          <w:sz w:val="28"/>
          <w:szCs w:val="28"/>
        </w:rPr>
        <w:t xml:space="preserve">12, 13, 16, 17, 23, 24, 25, </w:t>
      </w:r>
      <w:r w:rsidR="00944DB6" w:rsidRPr="00944DB6">
        <w:rPr>
          <w:rFonts w:ascii="Times New Roman" w:hAnsi="Times New Roman" w:cs="Times New Roman"/>
          <w:sz w:val="28"/>
          <w:szCs w:val="28"/>
        </w:rPr>
        <w:t>32, 33, 37</w:t>
      </w:r>
      <w:r w:rsidRPr="00944DB6">
        <w:rPr>
          <w:rFonts w:ascii="Times New Roman" w:hAnsi="Times New Roman" w:cs="Times New Roman"/>
          <w:sz w:val="28"/>
          <w:szCs w:val="28"/>
        </w:rPr>
        <w:t>,  4</w:t>
      </w:r>
      <w:r w:rsidR="00944DB6" w:rsidRPr="00944DB6">
        <w:rPr>
          <w:rFonts w:ascii="Times New Roman" w:hAnsi="Times New Roman" w:cs="Times New Roman"/>
          <w:sz w:val="28"/>
          <w:szCs w:val="28"/>
        </w:rPr>
        <w:t>6, 48, 54</w:t>
      </w:r>
      <w:r w:rsidRPr="00944DB6">
        <w:rPr>
          <w:rFonts w:ascii="Times New Roman" w:hAnsi="Times New Roman" w:cs="Times New Roman"/>
          <w:sz w:val="28"/>
          <w:szCs w:val="28"/>
        </w:rPr>
        <w:t xml:space="preserve">, </w:t>
      </w:r>
      <w:r w:rsidR="00944DB6" w:rsidRPr="00944DB6">
        <w:rPr>
          <w:rFonts w:ascii="Times New Roman" w:hAnsi="Times New Roman" w:cs="Times New Roman"/>
          <w:sz w:val="28"/>
          <w:szCs w:val="28"/>
        </w:rPr>
        <w:t xml:space="preserve">56, </w:t>
      </w:r>
      <w:r w:rsidRPr="00944DB6">
        <w:rPr>
          <w:rFonts w:ascii="Times New Roman" w:hAnsi="Times New Roman" w:cs="Times New Roman"/>
          <w:sz w:val="28"/>
          <w:szCs w:val="28"/>
        </w:rPr>
        <w:t xml:space="preserve">62, 63, 73, </w:t>
      </w:r>
      <w:r w:rsidR="00CB4A6C" w:rsidRPr="00944DB6">
        <w:rPr>
          <w:rFonts w:ascii="Times New Roman" w:hAnsi="Times New Roman" w:cs="Times New Roman"/>
          <w:sz w:val="28"/>
          <w:szCs w:val="28"/>
        </w:rPr>
        <w:t xml:space="preserve">75, «итого», </w:t>
      </w:r>
      <w:r w:rsidR="00271109" w:rsidRPr="00944DB6">
        <w:rPr>
          <w:rFonts w:ascii="Times New Roman" w:hAnsi="Times New Roman" w:cs="Times New Roman"/>
          <w:sz w:val="28"/>
          <w:szCs w:val="28"/>
        </w:rPr>
        <w:t>исключена</w:t>
      </w:r>
      <w:r w:rsidR="00271109">
        <w:rPr>
          <w:rFonts w:ascii="Times New Roman" w:hAnsi="Times New Roman" w:cs="Times New Roman"/>
          <w:sz w:val="28"/>
          <w:szCs w:val="28"/>
        </w:rPr>
        <w:t xml:space="preserve"> строка 17, изменена 24 (стала</w:t>
      </w:r>
      <w:r w:rsidR="00944DB6">
        <w:rPr>
          <w:rFonts w:ascii="Times New Roman" w:hAnsi="Times New Roman" w:cs="Times New Roman"/>
          <w:sz w:val="28"/>
          <w:szCs w:val="28"/>
        </w:rPr>
        <w:t xml:space="preserve"> 23)</w:t>
      </w:r>
      <w:r w:rsidR="00CB4A6C">
        <w:rPr>
          <w:rFonts w:ascii="Times New Roman" w:hAnsi="Times New Roman" w:cs="Times New Roman"/>
          <w:sz w:val="28"/>
          <w:szCs w:val="28"/>
        </w:rPr>
        <w:t xml:space="preserve">, </w:t>
      </w:r>
      <w:r w:rsidR="00944DB6">
        <w:rPr>
          <w:rFonts w:ascii="Times New Roman" w:hAnsi="Times New Roman" w:cs="Times New Roman"/>
          <w:sz w:val="28"/>
          <w:szCs w:val="28"/>
        </w:rPr>
        <w:t xml:space="preserve">после 23 строки </w:t>
      </w:r>
      <w:r w:rsidR="00CB4A6C">
        <w:rPr>
          <w:rFonts w:ascii="Times New Roman" w:hAnsi="Times New Roman" w:cs="Times New Roman"/>
          <w:sz w:val="28"/>
          <w:szCs w:val="28"/>
        </w:rPr>
        <w:t xml:space="preserve">приведена соответствующая нумерация. </w:t>
      </w:r>
    </w:p>
    <w:p w:rsidR="00AE75F7" w:rsidRPr="00BE6BD1" w:rsidRDefault="00AE75F7" w:rsidP="0093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1109" w:rsidRDefault="00271109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председателя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1109" w:rsidRDefault="00271109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жилищно-коммунальному</w:t>
      </w:r>
      <w:proofErr w:type="gramEnd"/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5F7" w:rsidRDefault="00271109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</w:t>
      </w:r>
      <w:r w:rsidR="004A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27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Кайянен</w:t>
      </w:r>
      <w:r w:rsidR="00AE75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AE75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244D35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44D3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244D35" w:rsidRPr="00E757C7" w:rsidRDefault="00244D35" w:rsidP="0024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</w:t>
      </w:r>
    </w:p>
    <w:p w:rsidR="00244D35" w:rsidRDefault="00244D35" w:rsidP="0024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ЛЕНИНГРАДСКОЙ ОБЛАСТИ ОТ 8 ОКТЯБРЯ 2020 ГОДА № 668»</w:t>
      </w:r>
    </w:p>
    <w:p w:rsidR="003B2427" w:rsidRDefault="003B2427" w:rsidP="003B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B2427"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EE" w:rsidRDefault="004A0FEE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редседатель </w:t>
      </w:r>
    </w:p>
    <w:p w:rsidR="004A0FEE" w:rsidRDefault="004A0FEE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жилищно-коммунальному</w:t>
      </w:r>
      <w:proofErr w:type="gramEnd"/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5F7" w:rsidRPr="00C446AB" w:rsidRDefault="00AE75F7" w:rsidP="004A0FEE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</w:t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Кайянен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A220AE" w:rsidP="00A220AE">
      <w:pPr>
        <w:tabs>
          <w:tab w:val="left" w:pos="5865"/>
        </w:tabs>
      </w:pPr>
      <w:r>
        <w:tab/>
      </w:r>
    </w:p>
    <w:sectPr w:rsidR="00490FBA" w:rsidSect="00C91D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D8" w:rsidRDefault="00B839D8" w:rsidP="00C4583E">
      <w:pPr>
        <w:spacing w:after="0" w:line="240" w:lineRule="auto"/>
      </w:pPr>
      <w:r>
        <w:separator/>
      </w:r>
    </w:p>
  </w:endnote>
  <w:endnote w:type="continuationSeparator" w:id="0">
    <w:p w:rsidR="00B839D8" w:rsidRDefault="00B839D8" w:rsidP="00C4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D8" w:rsidRDefault="00B839D8" w:rsidP="00C4583E">
      <w:pPr>
        <w:spacing w:after="0" w:line="240" w:lineRule="auto"/>
      </w:pPr>
      <w:r>
        <w:separator/>
      </w:r>
    </w:p>
  </w:footnote>
  <w:footnote w:type="continuationSeparator" w:id="0">
    <w:p w:rsidR="00B839D8" w:rsidRDefault="00B839D8" w:rsidP="00C4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C17"/>
    <w:multiLevelType w:val="hybridMultilevel"/>
    <w:tmpl w:val="9E26B492"/>
    <w:lvl w:ilvl="0" w:tplc="541E5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D3BAF"/>
    <w:multiLevelType w:val="hybridMultilevel"/>
    <w:tmpl w:val="D91209AA"/>
    <w:lvl w:ilvl="0" w:tplc="541E5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415D9"/>
    <w:rsid w:val="00055810"/>
    <w:rsid w:val="000625C1"/>
    <w:rsid w:val="000627DB"/>
    <w:rsid w:val="000765DF"/>
    <w:rsid w:val="000B2C1C"/>
    <w:rsid w:val="000D6357"/>
    <w:rsid w:val="00103085"/>
    <w:rsid w:val="0010773E"/>
    <w:rsid w:val="001350A8"/>
    <w:rsid w:val="001433BD"/>
    <w:rsid w:val="001758F3"/>
    <w:rsid w:val="001837C5"/>
    <w:rsid w:val="001A212F"/>
    <w:rsid w:val="001B4ABA"/>
    <w:rsid w:val="001D6E28"/>
    <w:rsid w:val="001E1FCC"/>
    <w:rsid w:val="001E4DC4"/>
    <w:rsid w:val="0020008D"/>
    <w:rsid w:val="002173B0"/>
    <w:rsid w:val="00244D35"/>
    <w:rsid w:val="00271109"/>
    <w:rsid w:val="0027550E"/>
    <w:rsid w:val="002A6650"/>
    <w:rsid w:val="002F277A"/>
    <w:rsid w:val="00314F76"/>
    <w:rsid w:val="00375992"/>
    <w:rsid w:val="003B2427"/>
    <w:rsid w:val="003C350D"/>
    <w:rsid w:val="003E66CE"/>
    <w:rsid w:val="004234D9"/>
    <w:rsid w:val="00481E0D"/>
    <w:rsid w:val="00490FBA"/>
    <w:rsid w:val="004933B9"/>
    <w:rsid w:val="004A0FEE"/>
    <w:rsid w:val="004A3299"/>
    <w:rsid w:val="004B25C8"/>
    <w:rsid w:val="00526E35"/>
    <w:rsid w:val="005C318C"/>
    <w:rsid w:val="005F76AB"/>
    <w:rsid w:val="00602E2B"/>
    <w:rsid w:val="00606E52"/>
    <w:rsid w:val="00606E5D"/>
    <w:rsid w:val="00622228"/>
    <w:rsid w:val="00637B67"/>
    <w:rsid w:val="00655504"/>
    <w:rsid w:val="006C3EF4"/>
    <w:rsid w:val="006D2727"/>
    <w:rsid w:val="0071042C"/>
    <w:rsid w:val="00720955"/>
    <w:rsid w:val="00732DD6"/>
    <w:rsid w:val="00793B06"/>
    <w:rsid w:val="0079507D"/>
    <w:rsid w:val="007B24A4"/>
    <w:rsid w:val="007D160F"/>
    <w:rsid w:val="0080195C"/>
    <w:rsid w:val="00821344"/>
    <w:rsid w:val="00874B1B"/>
    <w:rsid w:val="008D34C7"/>
    <w:rsid w:val="0090405A"/>
    <w:rsid w:val="00905E6C"/>
    <w:rsid w:val="00915093"/>
    <w:rsid w:val="009208EA"/>
    <w:rsid w:val="00936CA5"/>
    <w:rsid w:val="00936FCB"/>
    <w:rsid w:val="00944DB6"/>
    <w:rsid w:val="00951DE7"/>
    <w:rsid w:val="009661AD"/>
    <w:rsid w:val="009C3519"/>
    <w:rsid w:val="00A220AE"/>
    <w:rsid w:val="00A44CC6"/>
    <w:rsid w:val="00A869D3"/>
    <w:rsid w:val="00A95200"/>
    <w:rsid w:val="00AB7256"/>
    <w:rsid w:val="00AD194B"/>
    <w:rsid w:val="00AE75F7"/>
    <w:rsid w:val="00AF6778"/>
    <w:rsid w:val="00B13255"/>
    <w:rsid w:val="00B24DAE"/>
    <w:rsid w:val="00B25133"/>
    <w:rsid w:val="00B6382A"/>
    <w:rsid w:val="00B70568"/>
    <w:rsid w:val="00B839D8"/>
    <w:rsid w:val="00B8549E"/>
    <w:rsid w:val="00B9463A"/>
    <w:rsid w:val="00BA0B8D"/>
    <w:rsid w:val="00BA7968"/>
    <w:rsid w:val="00BB3486"/>
    <w:rsid w:val="00C3377A"/>
    <w:rsid w:val="00C426B8"/>
    <w:rsid w:val="00C4583E"/>
    <w:rsid w:val="00C518BB"/>
    <w:rsid w:val="00C54DA9"/>
    <w:rsid w:val="00C57AC2"/>
    <w:rsid w:val="00C86F9F"/>
    <w:rsid w:val="00C91D29"/>
    <w:rsid w:val="00CA4A05"/>
    <w:rsid w:val="00CB4A6C"/>
    <w:rsid w:val="00CC3EBC"/>
    <w:rsid w:val="00CF3028"/>
    <w:rsid w:val="00D203A7"/>
    <w:rsid w:val="00D302CA"/>
    <w:rsid w:val="00D43BAA"/>
    <w:rsid w:val="00D66FAC"/>
    <w:rsid w:val="00D778CF"/>
    <w:rsid w:val="00D77964"/>
    <w:rsid w:val="00D8030D"/>
    <w:rsid w:val="00D83D2A"/>
    <w:rsid w:val="00D853F1"/>
    <w:rsid w:val="00E038C0"/>
    <w:rsid w:val="00E215B7"/>
    <w:rsid w:val="00E26B65"/>
    <w:rsid w:val="00E34877"/>
    <w:rsid w:val="00E52FDE"/>
    <w:rsid w:val="00E757C7"/>
    <w:rsid w:val="00E94FF5"/>
    <w:rsid w:val="00EA176E"/>
    <w:rsid w:val="00EC41C9"/>
    <w:rsid w:val="00EC4EEE"/>
    <w:rsid w:val="00EE28A9"/>
    <w:rsid w:val="00EF49C9"/>
    <w:rsid w:val="00EF583F"/>
    <w:rsid w:val="00EF6D3D"/>
    <w:rsid w:val="00F20976"/>
    <w:rsid w:val="00F3073E"/>
    <w:rsid w:val="00F41A39"/>
    <w:rsid w:val="00F46EB1"/>
    <w:rsid w:val="00FA2342"/>
    <w:rsid w:val="00FA309A"/>
    <w:rsid w:val="00FB2095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3E"/>
  </w:style>
  <w:style w:type="paragraph" w:styleId="a6">
    <w:name w:val="footer"/>
    <w:basedOn w:val="a"/>
    <w:link w:val="a7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3E"/>
  </w:style>
  <w:style w:type="paragraph" w:styleId="a6">
    <w:name w:val="footer"/>
    <w:basedOn w:val="a"/>
    <w:link w:val="a7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A9BC-8FA6-4580-B7E4-E26B3D8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dcterms:created xsi:type="dcterms:W3CDTF">2021-07-13T10:05:00Z</dcterms:created>
  <dcterms:modified xsi:type="dcterms:W3CDTF">2021-07-13T10:05:00Z</dcterms:modified>
</cp:coreProperties>
</file>